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bCs/>
          <w:sz w:val="24"/>
        </w:rPr>
      </w:pPr>
      <w:r>
        <w:rPr>
          <w:rFonts w:hint="eastAsia" w:ascii="仿宋_GB2312" w:hAnsi="宋体" w:eastAsia="仿宋_GB2312"/>
          <w:b/>
          <w:bCs/>
          <w:sz w:val="24"/>
          <w:u w:val="single"/>
        </w:rPr>
        <w:t xml:space="preserve">            </w:t>
      </w:r>
      <w:r>
        <w:rPr>
          <w:rFonts w:hint="eastAsia" w:ascii="仿宋_GB2312" w:hAnsi="宋体" w:eastAsia="仿宋_GB2312"/>
          <w:b/>
          <w:bCs/>
          <w:sz w:val="24"/>
        </w:rPr>
        <w:t>项目采购方案（服务类）</w:t>
      </w:r>
    </w:p>
    <w:p>
      <w:pPr>
        <w:spacing w:line="360" w:lineRule="auto"/>
        <w:jc w:val="center"/>
        <w:rPr>
          <w:rFonts w:ascii="仿宋_GB2312" w:eastAsia="仿宋_GB2312"/>
          <w:b/>
          <w:bCs/>
          <w:color w:val="FF0000"/>
          <w:sz w:val="28"/>
        </w:rPr>
      </w:pPr>
      <w:r>
        <w:rPr>
          <w:rFonts w:hint="eastAsia" w:ascii="仿宋_GB2312" w:hAnsi="宋体" w:eastAsia="仿宋_GB2312"/>
          <w:b/>
          <w:bCs/>
          <w:color w:val="FF0000"/>
          <w:sz w:val="28"/>
        </w:rPr>
        <w:t>（请在制作正式采购方案时删除本模板中所有红色字样）</w:t>
      </w:r>
    </w:p>
    <w:p>
      <w:pPr>
        <w:spacing w:line="360" w:lineRule="auto"/>
        <w:jc w:val="left"/>
        <w:rPr>
          <w:rFonts w:ascii="仿宋_GB2312" w:eastAsia="仿宋_GB2312"/>
          <w:bCs/>
          <w:sz w:val="24"/>
        </w:rPr>
      </w:pPr>
      <w:r>
        <w:rPr>
          <w:rFonts w:hint="eastAsia" w:ascii="仿宋_GB2312" w:hAnsi="宋体" w:eastAsia="仿宋_GB2312"/>
          <w:bCs/>
          <w:sz w:val="24"/>
        </w:rPr>
        <w:t>1.招标服务一览表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251"/>
        <w:gridCol w:w="472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3"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bCs/>
                <w:color w:val="000000"/>
                <w:kern w:val="0"/>
                <w:sz w:val="24"/>
              </w:rPr>
              <w:t>合同包</w:t>
            </w:r>
          </w:p>
        </w:tc>
        <w:tc>
          <w:tcPr>
            <w:tcW w:w="642" w:type="pct"/>
            <w:vAlign w:val="center"/>
          </w:tcPr>
          <w:p>
            <w:pPr>
              <w:spacing w:line="400" w:lineRule="exact"/>
              <w:jc w:val="center"/>
              <w:rPr>
                <w:rFonts w:ascii="仿宋_GB2312" w:eastAsia="仿宋_GB2312" w:cs="宋体"/>
                <w:color w:val="000000"/>
                <w:sz w:val="24"/>
              </w:rPr>
            </w:pPr>
            <w:r>
              <w:rPr>
                <w:rFonts w:hint="eastAsia" w:ascii="仿宋_GB2312" w:hAnsi="宋体" w:eastAsia="仿宋_GB2312" w:cs="宋体"/>
                <w:color w:val="000000"/>
                <w:sz w:val="24"/>
              </w:rPr>
              <w:t>品目号</w:t>
            </w:r>
          </w:p>
        </w:tc>
        <w:tc>
          <w:tcPr>
            <w:tcW w:w="2423"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color w:val="000000"/>
                <w:sz w:val="24"/>
              </w:rPr>
              <w:t>服务名称</w:t>
            </w:r>
          </w:p>
        </w:tc>
        <w:tc>
          <w:tcPr>
            <w:tcW w:w="1222" w:type="pct"/>
            <w:vAlign w:val="center"/>
          </w:tcPr>
          <w:p>
            <w:pPr>
              <w:spacing w:line="400" w:lineRule="exact"/>
              <w:jc w:val="center"/>
              <w:rPr>
                <w:rFonts w:ascii="仿宋_GB2312" w:eastAsia="仿宋_GB2312" w:cs="宋体"/>
                <w:color w:val="000000"/>
                <w:sz w:val="24"/>
              </w:rPr>
            </w:pPr>
            <w:r>
              <w:rPr>
                <w:rFonts w:hint="eastAsia" w:ascii="仿宋_GB2312" w:hAnsi="宋体" w:eastAsia="仿宋_GB2312" w:cs="宋体"/>
                <w:color w:val="000000"/>
                <w:sz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3" w:type="pct"/>
            <w:vMerge w:val="restart"/>
            <w:vAlign w:val="center"/>
          </w:tcPr>
          <w:p>
            <w:pPr>
              <w:spacing w:line="400" w:lineRule="exact"/>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w:t>
            </w:r>
          </w:p>
        </w:tc>
        <w:tc>
          <w:tcPr>
            <w:tcW w:w="642"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1-1</w:t>
            </w:r>
          </w:p>
        </w:tc>
        <w:tc>
          <w:tcPr>
            <w:tcW w:w="2423" w:type="pct"/>
            <w:shd w:val="clear" w:color="auto" w:fill="FFFFFF"/>
            <w:vAlign w:val="center"/>
          </w:tcPr>
          <w:p>
            <w:pPr>
              <w:widowControl/>
              <w:spacing w:line="400" w:lineRule="exact"/>
              <w:jc w:val="center"/>
              <w:rPr>
                <w:rFonts w:ascii="仿宋_GB2312" w:eastAsia="仿宋_GB2312" w:cs="宋体"/>
                <w:color w:val="000000"/>
                <w:kern w:val="0"/>
                <w:sz w:val="24"/>
              </w:rPr>
            </w:pPr>
          </w:p>
        </w:tc>
        <w:tc>
          <w:tcPr>
            <w:tcW w:w="1222" w:type="pct"/>
            <w:shd w:val="clear" w:color="auto" w:fill="FFFFFF"/>
            <w:vAlign w:val="center"/>
          </w:tcPr>
          <w:p>
            <w:pPr>
              <w:widowControl/>
              <w:spacing w:line="400" w:lineRule="exact"/>
              <w:jc w:val="center"/>
              <w:rPr>
                <w:rFonts w:ascii="仿宋_GB2312" w:eastAsia="仿宋_GB2312"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13" w:type="pct"/>
            <w:vMerge w:val="continue"/>
            <w:vAlign w:val="center"/>
          </w:tcPr>
          <w:p>
            <w:pPr>
              <w:spacing w:line="400" w:lineRule="exact"/>
              <w:jc w:val="center"/>
              <w:rPr>
                <w:rFonts w:ascii="仿宋_GB2312" w:eastAsia="仿宋_GB2312" w:cs="宋体"/>
                <w:bCs/>
                <w:color w:val="000000"/>
                <w:kern w:val="0"/>
                <w:sz w:val="24"/>
              </w:rPr>
            </w:pPr>
          </w:p>
        </w:tc>
        <w:tc>
          <w:tcPr>
            <w:tcW w:w="642"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1-2</w:t>
            </w:r>
          </w:p>
        </w:tc>
        <w:tc>
          <w:tcPr>
            <w:tcW w:w="2423" w:type="pct"/>
            <w:shd w:val="clear" w:color="auto" w:fill="FFFFFF"/>
            <w:vAlign w:val="center"/>
          </w:tcPr>
          <w:p>
            <w:pPr>
              <w:spacing w:line="400" w:lineRule="exact"/>
              <w:jc w:val="center"/>
              <w:rPr>
                <w:rFonts w:ascii="仿宋_GB2312" w:eastAsia="仿宋_GB2312" w:cs="宋体"/>
                <w:color w:val="000000"/>
                <w:sz w:val="24"/>
              </w:rPr>
            </w:pPr>
          </w:p>
        </w:tc>
        <w:tc>
          <w:tcPr>
            <w:tcW w:w="1222" w:type="pct"/>
            <w:shd w:val="clear" w:color="auto" w:fill="FFFFFF"/>
            <w:vAlign w:val="center"/>
          </w:tcPr>
          <w:p>
            <w:pPr>
              <w:widowControl/>
              <w:spacing w:line="400" w:lineRule="exact"/>
              <w:jc w:val="center"/>
              <w:rPr>
                <w:rFonts w:ascii="仿宋_GB2312" w:eastAsia="仿宋_GB2312"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3" w:type="pct"/>
            <w:vMerge w:val="continue"/>
            <w:vAlign w:val="center"/>
          </w:tcPr>
          <w:p>
            <w:pPr>
              <w:spacing w:line="400" w:lineRule="exact"/>
              <w:jc w:val="center"/>
              <w:rPr>
                <w:rFonts w:ascii="仿宋_GB2312" w:eastAsia="仿宋_GB2312" w:cs="宋体"/>
                <w:bCs/>
                <w:color w:val="000000"/>
                <w:kern w:val="0"/>
                <w:sz w:val="24"/>
              </w:rPr>
            </w:pPr>
          </w:p>
        </w:tc>
        <w:tc>
          <w:tcPr>
            <w:tcW w:w="642" w:type="pct"/>
            <w:shd w:val="clear" w:color="auto" w:fill="FFFFFF"/>
            <w:vAlign w:val="center"/>
          </w:tcPr>
          <w:p>
            <w:pPr>
              <w:widowControl/>
              <w:jc w:val="center"/>
              <w:rPr>
                <w:rFonts w:ascii="仿宋_GB2312" w:eastAsia="仿宋_GB2312" w:cs="宋体"/>
                <w:color w:val="000000"/>
                <w:sz w:val="24"/>
              </w:rPr>
            </w:pPr>
            <w:r>
              <w:rPr>
                <w:rFonts w:hint="eastAsia" w:ascii="仿宋_GB2312" w:eastAsia="仿宋_GB2312" w:cs="宋体"/>
                <w:color w:val="000000"/>
                <w:kern w:val="0"/>
                <w:sz w:val="24"/>
              </w:rPr>
              <w:t>…</w:t>
            </w:r>
          </w:p>
        </w:tc>
        <w:tc>
          <w:tcPr>
            <w:tcW w:w="2423" w:type="pct"/>
            <w:shd w:val="clear" w:color="auto" w:fill="FFFFFF"/>
            <w:vAlign w:val="center"/>
          </w:tcPr>
          <w:p>
            <w:pPr>
              <w:widowControl/>
              <w:spacing w:line="400" w:lineRule="exact"/>
              <w:jc w:val="center"/>
              <w:rPr>
                <w:rFonts w:ascii="仿宋_GB2312" w:eastAsia="仿宋_GB2312" w:cs="宋体"/>
                <w:color w:val="000000"/>
                <w:sz w:val="24"/>
              </w:rPr>
            </w:pPr>
          </w:p>
        </w:tc>
        <w:tc>
          <w:tcPr>
            <w:tcW w:w="1222" w:type="pct"/>
            <w:shd w:val="clear" w:color="auto" w:fill="FFFFFF"/>
            <w:vAlign w:val="center"/>
          </w:tcPr>
          <w:p>
            <w:pPr>
              <w:widowControl/>
              <w:spacing w:line="400" w:lineRule="exact"/>
              <w:jc w:val="center"/>
              <w:rPr>
                <w:rFonts w:ascii="仿宋_GB2312" w:eastAsia="仿宋_GB2312" w:cs="宋体"/>
                <w:b/>
                <w:color w:val="000000"/>
                <w:sz w:val="24"/>
              </w:rPr>
            </w:pPr>
          </w:p>
        </w:tc>
      </w:tr>
    </w:tbl>
    <w:p>
      <w:pPr>
        <w:spacing w:line="360" w:lineRule="auto"/>
        <w:jc w:val="left"/>
        <w:rPr>
          <w:rFonts w:ascii="仿宋_GB2312" w:hAnsi="宋体" w:eastAsia="仿宋_GB2312"/>
          <w:bCs/>
          <w:sz w:val="24"/>
        </w:rPr>
      </w:pPr>
      <w:r>
        <w:rPr>
          <w:rFonts w:hint="eastAsia" w:ascii="仿宋_GB2312" w:hAnsi="宋体" w:eastAsia="仿宋_GB2312"/>
          <w:bCs/>
          <w:sz w:val="24"/>
        </w:rPr>
        <w:t>2. 服务内容及相关要求</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w:t>
      </w:r>
    </w:p>
    <w:p>
      <w:pPr>
        <w:spacing w:line="360" w:lineRule="auto"/>
        <w:jc w:val="left"/>
        <w:rPr>
          <w:rFonts w:ascii="仿宋_GB2312" w:hAnsi="宋体" w:eastAsia="仿宋_GB2312"/>
          <w:bCs/>
          <w:sz w:val="24"/>
        </w:rPr>
      </w:pPr>
      <w:r>
        <w:rPr>
          <w:rFonts w:hint="eastAsia" w:ascii="仿宋_GB2312" w:hAnsi="宋体" w:eastAsia="仿宋_GB2312"/>
          <w:bCs/>
          <w:sz w:val="24"/>
        </w:rPr>
        <w:t>3.服务资格要求</w:t>
      </w:r>
    </w:p>
    <w:p>
      <w:pPr>
        <w:spacing w:line="360" w:lineRule="auto"/>
        <w:ind w:firstLine="240" w:firstLineChars="100"/>
        <w:jc w:val="left"/>
        <w:rPr>
          <w:rFonts w:ascii="仿宋" w:hAnsi="仿宋" w:eastAsia="仿宋"/>
          <w:bCs/>
          <w:sz w:val="24"/>
        </w:rPr>
      </w:pPr>
      <w:r>
        <w:rPr>
          <w:rFonts w:hint="eastAsia" w:ascii="仿宋" w:hAnsi="仿宋" w:eastAsia="仿宋"/>
          <w:bCs/>
          <w:sz w:val="24"/>
        </w:rPr>
        <w:t>（1）《中华人民共和国政府采购法》第二十二条规定的供应商参加政府采购活动应当具备条件。</w:t>
      </w:r>
    </w:p>
    <w:p>
      <w:pPr>
        <w:spacing w:line="360" w:lineRule="auto"/>
        <w:ind w:firstLine="240" w:firstLineChars="100"/>
        <w:jc w:val="left"/>
        <w:rPr>
          <w:rFonts w:ascii="仿宋_GB2312" w:hAnsi="宋体" w:eastAsia="仿宋_GB2312"/>
          <w:bCs/>
          <w:color w:val="FF0000"/>
          <w:sz w:val="24"/>
        </w:rPr>
      </w:pPr>
      <w:r>
        <w:rPr>
          <w:rFonts w:hint="eastAsia" w:ascii="仿宋" w:hAnsi="仿宋" w:eastAsia="仿宋"/>
          <w:bCs/>
          <w:sz w:val="24"/>
        </w:rPr>
        <w:t>（2）合同包___:□</w:t>
      </w:r>
      <w:r>
        <w:rPr>
          <w:rFonts w:hint="eastAsia" w:ascii="仿宋_GB2312" w:hAnsi="宋体" w:eastAsia="仿宋_GB2312"/>
          <w:bCs/>
          <w:sz w:val="24"/>
        </w:rPr>
        <w:t>专门面向中小企业</w:t>
      </w:r>
      <w:r>
        <w:rPr>
          <w:rFonts w:hint="eastAsia" w:ascii="仿宋_GB2312" w:hAnsi="宋体" w:eastAsia="仿宋_GB2312"/>
          <w:bCs/>
          <w:color w:val="FF0000"/>
          <w:sz w:val="24"/>
        </w:rPr>
        <w:t>（若本合同包专门面向中小企业，请在前面方框中打“</w:t>
      </w:r>
      <w:r>
        <w:rPr>
          <w:rFonts w:hint="eastAsia" w:ascii="仿宋" w:hAnsi="仿宋" w:eastAsia="仿宋"/>
          <w:bCs/>
          <w:color w:val="FF0000"/>
          <w:sz w:val="24"/>
        </w:rPr>
        <w:t>√</w:t>
      </w:r>
      <w:r>
        <w:rPr>
          <w:rFonts w:hint="eastAsia" w:ascii="仿宋_GB2312" w:hAnsi="宋体" w:eastAsia="仿宋_GB2312"/>
          <w:bCs/>
          <w:color w:val="FF0000"/>
          <w:sz w:val="24"/>
        </w:rPr>
        <w:t>”）</w:t>
      </w:r>
    </w:p>
    <w:p>
      <w:pPr>
        <w:spacing w:line="360" w:lineRule="auto"/>
        <w:ind w:firstLine="240" w:firstLineChars="100"/>
        <w:jc w:val="left"/>
        <w:rPr>
          <w:rFonts w:ascii="仿宋_GB2312" w:hAnsi="宋体" w:eastAsia="仿宋_GB2312"/>
          <w:bCs/>
          <w:color w:val="FF0000"/>
          <w:sz w:val="24"/>
        </w:rPr>
      </w:pPr>
      <w:r>
        <w:rPr>
          <w:rFonts w:hint="eastAsia" w:ascii="仿宋_GB2312" w:hAnsi="宋体" w:eastAsia="仿宋_GB2312"/>
          <w:bCs/>
          <w:color w:val="FF0000"/>
          <w:sz w:val="24"/>
        </w:rPr>
        <w:t>以此类推其他合同包。</w:t>
      </w:r>
    </w:p>
    <w:p>
      <w:pPr>
        <w:spacing w:line="360" w:lineRule="auto"/>
        <w:ind w:firstLine="240" w:firstLineChars="100"/>
        <w:jc w:val="left"/>
        <w:rPr>
          <w:rFonts w:ascii="仿宋_GB2312" w:hAnsi="宋体" w:eastAsia="仿宋_GB2312"/>
          <w:bCs/>
          <w:color w:val="FF0000"/>
          <w:sz w:val="24"/>
        </w:rPr>
      </w:pPr>
      <w:r>
        <w:rPr>
          <w:rFonts w:hint="eastAsia" w:ascii="仿宋_GB2312" w:hAnsi="宋体" w:eastAsia="仿宋_GB2312"/>
          <w:bCs/>
          <w:color w:val="FF0000"/>
          <w:sz w:val="24"/>
        </w:rPr>
        <w:t xml:space="preserve">注：根据《政府采购促进中小企业发展管理办法》（财库〔2020〕46号）的第六条、第七条和第八条要求，200万元以下的货物和服务项目，适宜面向中小企业应当专门面向中小企业采购。200万元以上的货物和服务项目，应至少预留预留该部分采购项目预算总额的 </w:t>
      </w:r>
      <w:r>
        <w:rPr>
          <w:rFonts w:ascii="仿宋_GB2312" w:hAnsi="宋体" w:eastAsia="仿宋_GB2312"/>
          <w:bCs/>
          <w:color w:val="FF0000"/>
          <w:sz w:val="24"/>
        </w:rPr>
        <w:t>4</w:t>
      </w:r>
      <w:r>
        <w:rPr>
          <w:rFonts w:hint="eastAsia" w:ascii="仿宋_GB2312" w:hAnsi="宋体" w:eastAsia="仿宋_GB2312"/>
          <w:bCs/>
          <w:color w:val="FF0000"/>
          <w:sz w:val="24"/>
        </w:rPr>
        <w:t>0%以上专门面向中小企业采购，其中预留给小微企业的比例不低于 60%。</w:t>
      </w:r>
    </w:p>
    <w:p>
      <w:pPr>
        <w:spacing w:line="360" w:lineRule="auto"/>
        <w:ind w:firstLine="480" w:firstLineChars="200"/>
        <w:jc w:val="left"/>
        <w:rPr>
          <w:rFonts w:ascii="仿宋_GB2312" w:hAnsi="宋体" w:eastAsia="仿宋_GB2312"/>
          <w:bCs/>
          <w:color w:val="FF0000"/>
          <w:sz w:val="24"/>
        </w:rPr>
      </w:pPr>
      <w:r>
        <w:rPr>
          <w:rFonts w:hint="eastAsia" w:ascii="仿宋_GB2312" w:hAnsi="宋体" w:eastAsia="仿宋_GB2312"/>
          <w:bCs/>
          <w:color w:val="FF0000"/>
          <w:sz w:val="24"/>
        </w:rPr>
        <w:t>中小企业的定义详见本办法第四条规定。若不能专门面向中小企业的，应根据《政府采购促进中小企业发展管理办法》（财库〔2020〕46号）第六条“可不专门面向中小企业预留采购份额的适用情形”编制说明函提交至我中心。</w:t>
      </w:r>
    </w:p>
    <w:p>
      <w:pPr>
        <w:spacing w:line="360" w:lineRule="auto"/>
        <w:ind w:firstLine="240" w:firstLineChars="100"/>
        <w:jc w:val="left"/>
        <w:rPr>
          <w:rFonts w:ascii="仿宋_GB2312" w:hAnsi="宋体" w:eastAsia="仿宋_GB2312"/>
          <w:bCs/>
          <w:color w:val="FF0000"/>
          <w:sz w:val="24"/>
        </w:rPr>
      </w:pPr>
      <w:r>
        <w:rPr>
          <w:rFonts w:hint="eastAsia" w:ascii="仿宋" w:hAnsi="仿宋" w:eastAsia="仿宋"/>
          <w:bCs/>
          <w:sz w:val="24"/>
        </w:rPr>
        <w:t>（3）</w:t>
      </w:r>
      <w:r>
        <w:rPr>
          <w:rFonts w:hint="eastAsia" w:ascii="仿宋_GB2312" w:hAnsi="宋体" w:eastAsia="仿宋_GB2312"/>
          <w:bCs/>
          <w:color w:val="000000" w:themeColor="text1"/>
          <w:sz w:val="24"/>
        </w:rPr>
        <w:t>特殊资格要求：</w:t>
      </w:r>
      <w:r>
        <w:rPr>
          <w:rFonts w:hint="eastAsia" w:ascii="仿宋_GB2312" w:hAnsi="宋体" w:eastAsia="仿宋_GB2312"/>
          <w:bCs/>
          <w:color w:val="FF0000"/>
          <w:sz w:val="24"/>
        </w:rPr>
        <w:t>（此项要求填写的内容必须是国家强制准入资格类的要求或者允许分包资格要求，若不是或不要求则填写“无”）。</w:t>
      </w:r>
    </w:p>
    <w:p>
      <w:pPr>
        <w:spacing w:line="360" w:lineRule="auto"/>
        <w:ind w:firstLine="240" w:firstLineChars="100"/>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（4）是否接受联合体：</w:t>
      </w:r>
    </w:p>
    <w:p>
      <w:pPr>
        <w:spacing w:line="360" w:lineRule="auto"/>
        <w:ind w:firstLine="240" w:firstLineChars="100"/>
        <w:jc w:val="left"/>
        <w:rPr>
          <w:rFonts w:ascii="仿宋" w:hAnsi="仿宋" w:eastAsia="仿宋"/>
          <w:bCs/>
          <w:sz w:val="24"/>
        </w:rPr>
      </w:pPr>
      <w:r>
        <w:rPr>
          <w:rFonts w:hint="eastAsia" w:ascii="仿宋" w:hAnsi="仿宋" w:eastAsia="仿宋"/>
          <w:bCs/>
          <w:sz w:val="24"/>
        </w:rPr>
        <w:t>□接受。</w:t>
      </w:r>
    </w:p>
    <w:p>
      <w:pPr>
        <w:spacing w:line="360" w:lineRule="auto"/>
        <w:ind w:firstLine="480" w:firstLineChars="200"/>
        <w:jc w:val="left"/>
        <w:rPr>
          <w:rFonts w:ascii="仿宋" w:hAnsi="仿宋" w:eastAsia="仿宋"/>
          <w:bCs/>
          <w:sz w:val="24"/>
        </w:rPr>
      </w:pPr>
      <w:r>
        <w:rPr>
          <w:rFonts w:hint="eastAsia" w:ascii="仿宋" w:hAnsi="仿宋" w:eastAsia="仿宋"/>
          <w:bCs/>
          <w:sz w:val="24"/>
        </w:rPr>
        <w:t>①联合体成员（含牵头人）不超过</w:t>
      </w:r>
      <w:r>
        <w:rPr>
          <w:rFonts w:ascii="仿宋" w:hAnsi="仿宋" w:eastAsia="仿宋"/>
          <w:bCs/>
          <w:sz w:val="24"/>
        </w:rPr>
        <w:t>____</w:t>
      </w:r>
      <w:r>
        <w:rPr>
          <w:rFonts w:hint="eastAsia" w:ascii="仿宋" w:hAnsi="仿宋" w:eastAsia="仿宋"/>
          <w:bCs/>
          <w:sz w:val="24"/>
        </w:rPr>
        <w:t xml:space="preserve">家。 </w:t>
      </w:r>
    </w:p>
    <w:p>
      <w:pPr>
        <w:spacing w:line="360" w:lineRule="auto"/>
        <w:ind w:firstLine="480" w:firstLineChars="200"/>
        <w:jc w:val="left"/>
        <w:rPr>
          <w:rFonts w:ascii="仿宋_GB2312" w:hAnsi="宋体" w:eastAsia="仿宋_GB2312"/>
          <w:bCs/>
          <w:sz w:val="24"/>
        </w:rPr>
      </w:pPr>
      <w:r>
        <w:rPr>
          <w:rFonts w:hint="eastAsia" w:ascii="仿宋" w:hAnsi="仿宋" w:eastAsia="仿宋"/>
          <w:bCs/>
          <w:sz w:val="24"/>
        </w:rPr>
        <w:t>②资质要求_</w:t>
      </w:r>
      <w:r>
        <w:rPr>
          <w:rFonts w:ascii="仿宋" w:hAnsi="仿宋" w:eastAsia="仿宋"/>
          <w:bCs/>
          <w:sz w:val="24"/>
        </w:rPr>
        <w:t>____________________________________</w:t>
      </w:r>
    </w:p>
    <w:p>
      <w:pPr>
        <w:spacing w:line="360" w:lineRule="auto"/>
        <w:ind w:firstLine="240" w:firstLineChars="100"/>
        <w:jc w:val="left"/>
        <w:rPr>
          <w:rFonts w:ascii="仿宋_GB2312" w:hAnsi="宋体" w:eastAsia="仿宋_GB2312"/>
          <w:bCs/>
          <w:color w:val="000000" w:themeColor="text1"/>
          <w:sz w:val="24"/>
        </w:rPr>
      </w:pPr>
      <w:r>
        <w:rPr>
          <w:rFonts w:hint="eastAsia" w:ascii="仿宋" w:hAnsi="仿宋" w:eastAsia="仿宋"/>
          <w:bCs/>
          <w:sz w:val="24"/>
        </w:rPr>
        <w:t>□不接受。</w:t>
      </w:r>
    </w:p>
    <w:p>
      <w:pPr>
        <w:spacing w:line="360" w:lineRule="auto"/>
        <w:ind w:firstLine="240" w:firstLineChars="100"/>
        <w:jc w:val="left"/>
        <w:rPr>
          <w:rFonts w:ascii="仿宋_GB2312" w:hAnsi="宋体" w:eastAsia="仿宋_GB2312"/>
          <w:bCs/>
          <w:color w:val="000000" w:themeColor="text1"/>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sz w:val="24"/>
        </w:rPr>
        <w:t>4.违约责任要求</w:t>
      </w:r>
      <w:r>
        <w:rPr>
          <w:rFonts w:hint="eastAsia" w:ascii="仿宋_GB2312" w:hAnsi="宋体" w:eastAsia="仿宋_GB2312"/>
          <w:bCs/>
          <w:color w:val="FF0000"/>
          <w:sz w:val="24"/>
        </w:rPr>
        <w:t>（仅供参考）</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w:t>
      </w:r>
      <w:r>
        <w:rPr>
          <w:rFonts w:ascii="仿宋_GB2312" w:hAnsi="宋体" w:eastAsia="仿宋_GB2312"/>
          <w:bCs/>
          <w:color w:val="FF0000"/>
          <w:sz w:val="24"/>
        </w:rPr>
        <w:t>1</w:t>
      </w:r>
      <w:r>
        <w:rPr>
          <w:rFonts w:hint="eastAsia" w:ascii="仿宋_GB2312" w:hAnsi="宋体" w:eastAsia="仿宋_GB2312"/>
          <w:bCs/>
          <w:color w:val="FF0000"/>
          <w:sz w:val="24"/>
        </w:rPr>
        <w:t>中标人逾期履行服务的，中标人应按逾期交付总额每日</w:t>
      </w:r>
      <w:bookmarkStart w:id="0" w:name="_GoBack"/>
      <w:r>
        <w:rPr>
          <w:rFonts w:hint="eastAsia" w:ascii="仿宋_GB2312" w:hAnsi="宋体" w:eastAsia="仿宋_GB2312"/>
          <w:bCs/>
          <w:color w:val="FF0000"/>
          <w:sz w:val="24"/>
        </w:rPr>
        <w:t>3‰</w:t>
      </w:r>
      <w:bookmarkEnd w:id="0"/>
      <w:r>
        <w:rPr>
          <w:rFonts w:hint="eastAsia" w:ascii="仿宋_GB2312" w:hAnsi="宋体" w:eastAsia="仿宋_GB2312"/>
          <w:bCs/>
          <w:color w:val="FF0000"/>
          <w:sz w:val="24"/>
        </w:rPr>
        <w:t>向采购人支付违约金，由采购人从待付货款中扣除。中标人无正当理由逾期超过约定日期30日仍不能交付的，视为“中标人不按合同约定履约”；</w:t>
      </w:r>
    </w:p>
    <w:p>
      <w:pPr>
        <w:spacing w:line="360" w:lineRule="auto"/>
        <w:jc w:val="left"/>
        <w:rPr>
          <w:rFonts w:hint="eastAsia" w:ascii="仿宋_GB2312" w:hAnsi="宋体" w:eastAsia="仿宋_GB2312"/>
          <w:bCs/>
          <w:color w:val="FF0000"/>
          <w:sz w:val="24"/>
          <w:lang w:eastAsia="zh-CN"/>
        </w:rPr>
      </w:pPr>
      <w:r>
        <w:rPr>
          <w:rFonts w:hint="eastAsia" w:ascii="仿宋_GB2312" w:hAnsi="宋体" w:eastAsia="仿宋_GB2312"/>
          <w:bCs/>
          <w:color w:val="FF0000"/>
          <w:sz w:val="24"/>
        </w:rPr>
        <w:t>4.</w:t>
      </w:r>
      <w:r>
        <w:rPr>
          <w:rFonts w:ascii="仿宋_GB2312" w:hAnsi="宋体" w:eastAsia="仿宋_GB2312"/>
          <w:bCs/>
          <w:color w:val="FF0000"/>
          <w:sz w:val="24"/>
        </w:rPr>
        <w:t>2</w:t>
      </w:r>
      <w:r>
        <w:rPr>
          <w:rFonts w:hint="eastAsia" w:ascii="仿宋_GB2312" w:hAnsi="宋体" w:eastAsia="仿宋_GB2312"/>
          <w:bCs/>
          <w:color w:val="FF0000"/>
          <w:sz w:val="24"/>
        </w:rPr>
        <w:t>中标人所履行的服务不符合合同规定及《采购文件》规定标准的，采购人有权拒绝，中标人愿意整改但逾期履行的，按中标人逾期履行处理。中标人拒绝整改的，视为“中标人不按合同约定履约”</w:t>
      </w:r>
      <w:r>
        <w:rPr>
          <w:rFonts w:hint="eastAsia" w:ascii="仿宋_GB2312" w:hAnsi="宋体" w:eastAsia="仿宋_GB2312"/>
          <w:bCs/>
          <w:color w:val="FF0000"/>
          <w:sz w:val="24"/>
          <w:lang w:eastAsia="zh-CN"/>
        </w:rPr>
        <w:t>；</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w:t>
      </w:r>
      <w:r>
        <w:rPr>
          <w:rFonts w:ascii="仿宋_GB2312" w:hAnsi="宋体" w:eastAsia="仿宋_GB2312"/>
          <w:bCs/>
          <w:color w:val="FF0000"/>
          <w:sz w:val="24"/>
        </w:rPr>
        <w:t>3</w:t>
      </w:r>
      <w:r>
        <w:rPr>
          <w:rFonts w:hint="eastAsia" w:ascii="仿宋_GB2312" w:hAnsi="宋体" w:eastAsia="仿宋_GB2312"/>
          <w:bCs/>
          <w:color w:val="FF0000"/>
          <w:sz w:val="24"/>
        </w:rPr>
        <w:t>中标人不按合同约定履约的，采购人可以解除采购合同，并对中标人已缴纳的履约保证金作“不予退还”处理。同时，中标人须按合同金额</w:t>
      </w:r>
      <w:r>
        <w:rPr>
          <w:rFonts w:hint="eastAsia" w:ascii="仿宋_GB2312" w:hAnsi="宋体" w:eastAsia="仿宋_GB2312"/>
          <w:bCs/>
          <w:color w:val="FF0000"/>
          <w:sz w:val="24"/>
          <w:lang w:val="en-US" w:eastAsia="zh-CN"/>
        </w:rPr>
        <w:t>的</w:t>
      </w:r>
      <w:r>
        <w:rPr>
          <w:rFonts w:hint="eastAsia" w:ascii="仿宋_GB2312" w:hAnsi="宋体" w:eastAsia="仿宋_GB2312"/>
          <w:bCs/>
          <w:color w:val="FF0000"/>
          <w:sz w:val="24"/>
        </w:rPr>
        <w:t>30%向采购人支付违约金。</w:t>
      </w:r>
    </w:p>
    <w:p>
      <w:pPr>
        <w:spacing w:line="360" w:lineRule="auto"/>
        <w:jc w:val="left"/>
        <w:rPr>
          <w:rFonts w:ascii="仿宋_GB2312" w:eastAsia="仿宋_GB2312"/>
          <w:bCs/>
          <w:sz w:val="24"/>
        </w:rPr>
      </w:pPr>
      <w:r>
        <w:rPr>
          <w:rFonts w:hint="eastAsia" w:ascii="仿宋_GB2312" w:eastAsia="仿宋_GB2312"/>
          <w:bCs/>
          <w:sz w:val="24"/>
        </w:rPr>
        <w:t>5.其他要求</w:t>
      </w:r>
      <w:r>
        <w:rPr>
          <w:rFonts w:hint="eastAsia" w:ascii="仿宋_GB2312" w:eastAsia="仿宋_GB2312"/>
          <w:bCs/>
          <w:color w:val="FF0000"/>
          <w:sz w:val="24"/>
        </w:rPr>
        <w:t>（如</w:t>
      </w:r>
      <w:r>
        <w:rPr>
          <w:rFonts w:hint="eastAsia" w:ascii="仿宋_GB2312" w:hAnsi="宋体" w:eastAsia="仿宋_GB2312"/>
          <w:bCs/>
          <w:color w:val="FF0000"/>
          <w:sz w:val="24"/>
        </w:rPr>
        <w:t>服务安全责任保障等，若无其他要求，可删除此条目</w:t>
      </w:r>
      <w:r>
        <w:rPr>
          <w:rFonts w:hint="eastAsia" w:ascii="仿宋_GB2312" w:eastAsia="仿宋_GB2312"/>
          <w:bCs/>
          <w:color w:val="FF0000"/>
          <w:sz w:val="24"/>
        </w:rPr>
        <w:t>）</w:t>
      </w:r>
    </w:p>
    <w:p>
      <w:pPr>
        <w:spacing w:line="360" w:lineRule="auto"/>
        <w:ind w:firstLine="240" w:firstLineChars="100"/>
        <w:jc w:val="left"/>
        <w:rPr>
          <w:rFonts w:ascii="仿宋_GB2312" w:hAnsi="宋体" w:eastAsia="仿宋_GB2312"/>
          <w:bCs/>
          <w:sz w:val="24"/>
        </w:rPr>
      </w:pPr>
      <w:r>
        <w:rPr>
          <w:rFonts w:hint="eastAsia" w:ascii="仿宋_GB2312" w:hAnsi="宋体" w:eastAsia="仿宋_GB2312"/>
          <w:bCs/>
          <w:sz w:val="24"/>
        </w:rPr>
        <w:t>……</w:t>
      </w:r>
    </w:p>
    <w:p>
      <w:pPr>
        <w:spacing w:line="360" w:lineRule="auto"/>
        <w:jc w:val="left"/>
        <w:rPr>
          <w:rFonts w:ascii="仿宋_GB2312" w:eastAsia="仿宋_GB2312"/>
          <w:bCs/>
          <w:sz w:val="24"/>
        </w:rPr>
      </w:pPr>
      <w:r>
        <w:rPr>
          <w:rFonts w:hint="eastAsia" w:ascii="仿宋_GB2312" w:eastAsia="仿宋_GB2312"/>
          <w:bCs/>
          <w:sz w:val="24"/>
        </w:rPr>
        <w:t>6.</w:t>
      </w:r>
      <w:r>
        <w:rPr>
          <w:rFonts w:hint="eastAsia" w:ascii="仿宋_GB2312" w:hAnsi="宋体" w:eastAsia="仿宋_GB2312"/>
          <w:bCs/>
          <w:sz w:val="24"/>
        </w:rPr>
        <w:t>服务期限和地点</w:t>
      </w:r>
    </w:p>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（1）交付时间：</w:t>
      </w:r>
      <w:r>
        <w:rPr>
          <w:rFonts w:hint="eastAsia" w:ascii="仿宋_GB2312" w:hAnsi="宋体" w:eastAsia="仿宋_GB2312" w:cs="宋体"/>
          <w:bCs/>
          <w:color w:val="FF0000"/>
          <w:kern w:val="0"/>
          <w:sz w:val="24"/>
        </w:rPr>
        <w:t>比如对接或交接或进驻入场时间等</w:t>
      </w:r>
      <w:r>
        <w:rPr>
          <w:rFonts w:hint="eastAsia" w:ascii="仿宋_GB2312" w:hAnsi="宋体" w:eastAsia="仿宋_GB2312"/>
          <w:bCs/>
          <w:color w:val="FF0000"/>
          <w:sz w:val="24"/>
        </w:rPr>
        <w:t xml:space="preserve">（如：合同签订之日起 </w:t>
      </w:r>
      <w:r>
        <w:rPr>
          <w:rFonts w:ascii="仿宋_GB2312" w:hAnsi="宋体" w:eastAsia="仿宋_GB2312"/>
          <w:bCs/>
          <w:color w:val="FF0000"/>
          <w:sz w:val="24"/>
        </w:rPr>
        <w:t xml:space="preserve"> </w:t>
      </w:r>
      <w:r>
        <w:rPr>
          <w:rFonts w:hint="eastAsia" w:ascii="仿宋_GB2312" w:hAnsi="宋体" w:eastAsia="仿宋_GB2312"/>
          <w:bCs/>
          <w:color w:val="FF0000"/>
          <w:sz w:val="24"/>
        </w:rPr>
        <w:t>个日历天内……</w:t>
      </w:r>
      <w:r>
        <w:rPr>
          <w:rFonts w:ascii="仿宋_GB2312" w:hAnsi="宋体" w:eastAsia="仿宋_GB2312"/>
          <w:bCs/>
          <w:color w:val="FF0000"/>
          <w:sz w:val="24"/>
        </w:rPr>
        <w:t xml:space="preserve"> </w:t>
      </w:r>
      <w:r>
        <w:rPr>
          <w:rFonts w:hint="eastAsia" w:ascii="仿宋_GB2312" w:hAnsi="宋体" w:eastAsia="仿宋_GB2312"/>
          <w:bCs/>
          <w:color w:val="FF0000"/>
          <w:sz w:val="24"/>
        </w:rPr>
        <w:t>）</w:t>
      </w:r>
    </w:p>
    <w:p>
      <w:pPr>
        <w:spacing w:line="360" w:lineRule="auto"/>
        <w:jc w:val="left"/>
        <w:rPr>
          <w:rFonts w:ascii="仿宋_GB2312" w:hAnsi="宋体" w:eastAsia="仿宋_GB2312"/>
          <w:bCs/>
          <w:color w:val="FF0000"/>
          <w:sz w:val="24"/>
        </w:rPr>
      </w:pPr>
      <w:r>
        <w:rPr>
          <w:rFonts w:hint="eastAsia" w:ascii="仿宋_GB2312" w:hAnsi="宋体" w:eastAsia="仿宋_GB2312" w:cs="宋体"/>
          <w:bCs/>
          <w:color w:val="000000"/>
          <w:kern w:val="0"/>
          <w:sz w:val="24"/>
        </w:rPr>
        <w:t>（</w:t>
      </w:r>
      <w:r>
        <w:rPr>
          <w:rFonts w:ascii="仿宋_GB2312" w:hAnsi="宋体" w:eastAsia="仿宋_GB2312" w:cs="宋体"/>
          <w:bCs/>
          <w:color w:val="000000"/>
          <w:kern w:val="0"/>
          <w:sz w:val="24"/>
        </w:rPr>
        <w:t>2</w:t>
      </w:r>
      <w:r>
        <w:rPr>
          <w:rFonts w:hint="eastAsia" w:ascii="仿宋_GB2312" w:hAnsi="宋体" w:eastAsia="仿宋_GB2312" w:cs="宋体"/>
          <w:bCs/>
          <w:color w:val="000000"/>
          <w:kern w:val="0"/>
          <w:sz w:val="24"/>
        </w:rPr>
        <w:t>）服务期：</w:t>
      </w:r>
      <w:r>
        <w:rPr>
          <w:rFonts w:hint="eastAsia" w:ascii="仿宋_GB2312" w:hAnsi="宋体" w:eastAsia="仿宋_GB2312"/>
          <w:bCs/>
          <w:sz w:val="24"/>
        </w:rPr>
        <w:t>……</w:t>
      </w:r>
      <w:r>
        <w:rPr>
          <w:rFonts w:hint="eastAsia" w:ascii="仿宋_GB2312" w:hAnsi="宋体" w:eastAsia="仿宋_GB2312"/>
          <w:bCs/>
          <w:color w:val="FF0000"/>
          <w:sz w:val="24"/>
        </w:rPr>
        <w:t xml:space="preserve">（如：合同签订之日起 </w:t>
      </w:r>
      <w:r>
        <w:rPr>
          <w:rFonts w:ascii="仿宋_GB2312" w:hAnsi="宋体" w:eastAsia="仿宋_GB2312"/>
          <w:bCs/>
          <w:color w:val="FF0000"/>
          <w:sz w:val="24"/>
        </w:rPr>
        <w:t xml:space="preserve">  </w:t>
      </w:r>
      <w:r>
        <w:rPr>
          <w:rFonts w:hint="eastAsia" w:ascii="仿宋_GB2312" w:hAnsi="宋体" w:eastAsia="仿宋_GB2312"/>
          <w:bCs/>
          <w:color w:val="FF0000"/>
          <w:sz w:val="24"/>
        </w:rPr>
        <w:t>）</w:t>
      </w:r>
    </w:p>
    <w:p>
      <w:pPr>
        <w:spacing w:line="360" w:lineRule="auto"/>
        <w:jc w:val="left"/>
        <w:rPr>
          <w:rFonts w:ascii="仿宋_GB2312" w:hAnsi="宋体" w:eastAsia="仿宋_GB2312"/>
          <w:bCs/>
          <w:sz w:val="24"/>
        </w:rPr>
      </w:pPr>
      <w:r>
        <w:rPr>
          <w:rFonts w:hint="eastAsia" w:ascii="仿宋_GB2312" w:hAnsi="宋体" w:eastAsia="仿宋_GB2312" w:cs="宋体"/>
          <w:bCs/>
          <w:color w:val="000000"/>
          <w:kern w:val="0"/>
          <w:sz w:val="24"/>
        </w:rPr>
        <w:t>（</w:t>
      </w:r>
      <w:r>
        <w:rPr>
          <w:rFonts w:ascii="仿宋_GB2312" w:hAnsi="宋体" w:eastAsia="仿宋_GB2312" w:cs="宋体"/>
          <w:bCs/>
          <w:color w:val="000000"/>
          <w:kern w:val="0"/>
          <w:sz w:val="24"/>
        </w:rPr>
        <w:t>3</w:t>
      </w:r>
      <w:r>
        <w:rPr>
          <w:rFonts w:hint="eastAsia" w:ascii="仿宋_GB2312" w:hAnsi="宋体" w:eastAsia="仿宋_GB2312" w:cs="宋体"/>
          <w:bCs/>
          <w:color w:val="000000"/>
          <w:kern w:val="0"/>
          <w:sz w:val="24"/>
        </w:rPr>
        <w:t>）服务地点：</w:t>
      </w:r>
      <w:r>
        <w:rPr>
          <w:rFonts w:hint="eastAsia" w:ascii="仿宋_GB2312" w:hAnsi="宋体" w:eastAsia="仿宋_GB2312"/>
          <w:bCs/>
          <w:sz w:val="24"/>
        </w:rPr>
        <w:t>……</w:t>
      </w:r>
    </w:p>
    <w:p>
      <w:pPr>
        <w:spacing w:line="360" w:lineRule="auto"/>
        <w:jc w:val="left"/>
        <w:rPr>
          <w:rFonts w:ascii="仿宋_GB2312" w:hAnsi="宋体" w:eastAsia="仿宋_GB2312"/>
          <w:bCs/>
          <w:color w:val="FF0000"/>
          <w:sz w:val="24"/>
        </w:rPr>
      </w:pPr>
      <w:r>
        <w:rPr>
          <w:rFonts w:hint="eastAsia" w:ascii="仿宋_GB2312" w:hAnsi="宋体" w:eastAsia="仿宋_GB2312"/>
          <w:bCs/>
          <w:sz w:val="24"/>
        </w:rPr>
        <w:t>7. 结算方式及要求</w:t>
      </w:r>
      <w:r>
        <w:rPr>
          <w:rFonts w:hint="eastAsia" w:ascii="仿宋_GB2312" w:hAnsi="宋体" w:eastAsia="仿宋_GB2312"/>
          <w:bCs/>
          <w:color w:val="FF0000"/>
          <w:sz w:val="24"/>
        </w:rPr>
        <w:t>（若有）</w:t>
      </w:r>
    </w:p>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例如：按实结算，分批分次/每月/每季度/（或者自定义结算时间跨度）结算。</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结算要求：</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若无特殊结算要求，则填写“无”。</w:t>
      </w:r>
    </w:p>
    <w:p>
      <w:pPr>
        <w:spacing w:line="360" w:lineRule="auto"/>
        <w:jc w:val="left"/>
        <w:rPr>
          <w:rFonts w:ascii="仿宋_GB2312" w:hAnsi="宋体" w:eastAsia="仿宋_GB2312"/>
          <w:bCs/>
          <w:sz w:val="24"/>
        </w:rPr>
      </w:pPr>
      <w:r>
        <w:rPr>
          <w:rFonts w:ascii="仿宋_GB2312" w:hAnsi="宋体" w:eastAsia="仿宋_GB2312"/>
          <w:bCs/>
          <w:sz w:val="24"/>
        </w:rPr>
        <w:t>8</w:t>
      </w:r>
      <w:r>
        <w:rPr>
          <w:rFonts w:hint="eastAsia" w:ascii="仿宋_GB2312" w:hAnsi="宋体" w:eastAsia="仿宋_GB2312"/>
          <w:bCs/>
          <w:sz w:val="24"/>
        </w:rPr>
        <w:t>.付款方式及要求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支付期次</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支付比例</w:t>
            </w:r>
          </w:p>
        </w:tc>
        <w:tc>
          <w:tcPr>
            <w:tcW w:w="7081"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_</w:t>
            </w:r>
            <w:r>
              <w:rPr>
                <w:rFonts w:ascii="仿宋_GB2312" w:hAnsi="宋体" w:eastAsia="仿宋_GB2312" w:cs="宋体"/>
                <w:bCs/>
                <w:color w:val="000000"/>
                <w:kern w:val="0"/>
                <w:sz w:val="24"/>
              </w:rPr>
              <w:t>__%</w:t>
            </w:r>
          </w:p>
        </w:tc>
        <w:tc>
          <w:tcPr>
            <w:tcW w:w="7081"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按次/月/季度/</w:t>
            </w:r>
            <w:r>
              <w:rPr>
                <w:rFonts w:hint="eastAsia" w:ascii="仿宋_GB2312" w:hAnsi="宋体" w:eastAsia="仿宋_GB2312" w:cs="宋体"/>
                <w:bCs/>
                <w:color w:val="FF0000"/>
                <w:kern w:val="0"/>
                <w:sz w:val="24"/>
              </w:rPr>
              <w:t>（或者自定义结算时间跨度）</w:t>
            </w:r>
            <w:r>
              <w:rPr>
                <w:rFonts w:hint="eastAsia" w:ascii="仿宋_GB2312" w:hAnsi="宋体" w:eastAsia="仿宋_GB2312" w:cs="宋体"/>
                <w:bCs/>
                <w:color w:val="000000"/>
                <w:kern w:val="0"/>
                <w:sz w:val="24"/>
              </w:rPr>
              <w:t>支付。</w:t>
            </w:r>
          </w:p>
          <w:p>
            <w:pPr>
              <w:spacing w:line="360" w:lineRule="auto"/>
              <w:ind w:firstLine="480" w:firstLineChars="200"/>
              <w:jc w:val="left"/>
              <w:rPr>
                <w:rFonts w:ascii="仿宋_GB2312" w:hAnsi="宋体" w:eastAsia="仿宋_GB2312"/>
                <w:bCs/>
                <w:color w:val="FF0000"/>
                <w:sz w:val="24"/>
              </w:rPr>
            </w:pPr>
            <w:r>
              <w:rPr>
                <w:rFonts w:hint="eastAsia" w:ascii="仿宋_GB2312" w:hAnsi="宋体" w:eastAsia="仿宋_GB2312"/>
                <w:bCs/>
                <w:color w:val="FF0000"/>
                <w:sz w:val="24"/>
              </w:rPr>
              <w:t>例如：项目经验收合格后，中标人提供增值税专用发票，采购人在收到发票之日起_</w:t>
            </w:r>
            <w:r>
              <w:rPr>
                <w:rFonts w:ascii="仿宋_GB2312" w:hAnsi="宋体" w:eastAsia="仿宋_GB2312"/>
                <w:bCs/>
                <w:color w:val="FF0000"/>
                <w:sz w:val="24"/>
              </w:rPr>
              <w:t>____</w:t>
            </w:r>
            <w:r>
              <w:rPr>
                <w:rFonts w:hint="eastAsia" w:ascii="仿宋_GB2312" w:hAnsi="宋体" w:eastAsia="仿宋_GB2312"/>
                <w:bCs/>
                <w:color w:val="FF0000"/>
                <w:sz w:val="24"/>
              </w:rPr>
              <w:t>个工作日支付合同总价的</w:t>
            </w:r>
            <w:r>
              <w:rPr>
                <w:rFonts w:ascii="仿宋_GB2312" w:hAnsi="宋体" w:eastAsia="仿宋_GB2312"/>
                <w:bCs/>
                <w:color w:val="FF0000"/>
                <w:sz w:val="24"/>
              </w:rPr>
              <w:t>___</w:t>
            </w:r>
            <w:r>
              <w:rPr>
                <w:rFonts w:hint="eastAsia" w:ascii="仿宋_GB2312" w:hAnsi="宋体" w:eastAsia="仿宋_GB2312"/>
                <w:bCs/>
                <w:color w:val="FF0000"/>
                <w:sz w:val="24"/>
              </w:rPr>
              <w:t>%。</w:t>
            </w:r>
          </w:p>
          <w:p>
            <w:pPr>
              <w:spacing w:line="360" w:lineRule="auto"/>
              <w:ind w:firstLine="480" w:firstLineChars="200"/>
              <w:jc w:val="left"/>
              <w:rPr>
                <w:rFonts w:ascii="仿宋_GB2312" w:eastAsia="仿宋_GB2312" w:cs="宋体"/>
                <w:bCs/>
                <w:color w:val="000000"/>
                <w:kern w:val="0"/>
                <w:sz w:val="24"/>
              </w:rPr>
            </w:pPr>
          </w:p>
          <w:p>
            <w:pPr>
              <w:spacing w:line="360" w:lineRule="auto"/>
              <w:jc w:val="left"/>
              <w:rPr>
                <w:rFonts w:ascii="仿宋_GB2312" w:hAnsi="宋体" w:eastAsia="仿宋_GB2312"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以此类推</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c>
          <w:tcPr>
            <w:tcW w:w="7081" w:type="dxa"/>
          </w:tcPr>
          <w:p>
            <w:pPr>
              <w:spacing w:line="360" w:lineRule="auto"/>
              <w:ind w:firstLine="480" w:firstLineChars="20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r>
    </w:tbl>
    <w:p>
      <w:pPr>
        <w:spacing w:line="360" w:lineRule="auto"/>
        <w:ind w:firstLine="240" w:firstLineChars="100"/>
        <w:jc w:val="left"/>
        <w:rPr>
          <w:rFonts w:ascii="仿宋_GB2312" w:hAnsi="宋体" w:eastAsia="仿宋_GB2312"/>
          <w:bCs/>
          <w:sz w:val="24"/>
        </w:rPr>
      </w:pPr>
      <w:r>
        <w:rPr>
          <w:rFonts w:ascii="仿宋_GB2312" w:hAnsi="宋体" w:eastAsia="仿宋_GB2312"/>
          <w:bCs/>
          <w:sz w:val="24"/>
        </w:rPr>
        <w:t xml:space="preserve"> </w:t>
      </w:r>
    </w:p>
    <w:p>
      <w:pPr>
        <w:spacing w:line="360" w:lineRule="auto"/>
        <w:jc w:val="left"/>
        <w:rPr>
          <w:rFonts w:ascii="仿宋_GB2312" w:eastAsia="仿宋_GB2312"/>
          <w:sz w:val="24"/>
        </w:rPr>
      </w:pPr>
      <w:r>
        <w:rPr>
          <w:rFonts w:ascii="仿宋_GB2312" w:hAnsi="宋体" w:eastAsia="仿宋_GB2312"/>
          <w:bCs/>
          <w:sz w:val="24"/>
        </w:rPr>
        <w:t>9</w:t>
      </w:r>
      <w:r>
        <w:rPr>
          <w:rFonts w:hint="eastAsia" w:ascii="仿宋_GB2312" w:hAnsi="宋体" w:eastAsia="仿宋_GB2312"/>
          <w:bCs/>
          <w:sz w:val="24"/>
        </w:rPr>
        <w:t>.</w:t>
      </w:r>
      <w:r>
        <w:rPr>
          <w:rFonts w:hint="eastAsia" w:ascii="仿宋_GB2312" w:eastAsia="仿宋_GB2312"/>
          <w:sz w:val="24"/>
        </w:rPr>
        <w:t>履约保证金: 中标人在中标通知书发出之日起</w:t>
      </w:r>
      <w:r>
        <w:rPr>
          <w:rFonts w:ascii="仿宋_GB2312" w:eastAsia="仿宋_GB2312"/>
          <w:sz w:val="24"/>
        </w:rPr>
        <w:t>5</w:t>
      </w:r>
      <w:r>
        <w:rPr>
          <w:rFonts w:hint="eastAsia" w:ascii="仿宋_GB2312" w:eastAsia="仿宋_GB2312"/>
          <w:sz w:val="24"/>
        </w:rPr>
        <w:t>个工作日内，须向采购人缴纳中标金额的</w:t>
      </w:r>
      <w:r>
        <w:rPr>
          <w:rFonts w:hint="eastAsia" w:ascii="仿宋_GB2312" w:eastAsia="仿宋_GB2312"/>
          <w:sz w:val="24"/>
          <w:u w:val="single"/>
        </w:rPr>
        <w:t xml:space="preserve">   </w:t>
      </w:r>
      <w:r>
        <w:rPr>
          <w:rFonts w:hint="eastAsia" w:ascii="仿宋_GB2312" w:eastAsia="仿宋_GB2312"/>
          <w:sz w:val="24"/>
        </w:rPr>
        <w:t>%（不得超过中标金额的10%）作为履约保证金。该履约保证金在_____年/</w:t>
      </w:r>
      <w:r>
        <w:rPr>
          <w:rFonts w:ascii="仿宋_GB2312" w:eastAsia="仿宋_GB2312"/>
          <w:sz w:val="24"/>
          <w:u w:val="single"/>
        </w:rPr>
        <w:t>合同期满</w:t>
      </w:r>
      <w:r>
        <w:rPr>
          <w:rFonts w:hint="eastAsia" w:ascii="仿宋_GB2312" w:eastAsia="仿宋_GB2312"/>
          <w:sz w:val="24"/>
        </w:rPr>
        <w:t>后，待</w:t>
      </w:r>
      <w:r>
        <w:rPr>
          <w:rFonts w:ascii="仿宋_GB2312" w:eastAsia="仿宋_GB2312"/>
          <w:sz w:val="24"/>
        </w:rPr>
        <w:t>中标人完整履行合同</w:t>
      </w:r>
      <w:r>
        <w:rPr>
          <w:rFonts w:hint="eastAsia" w:ascii="仿宋_GB2312" w:eastAsia="仿宋_GB2312"/>
          <w:sz w:val="24"/>
        </w:rPr>
        <w:t>并提出退还申请，采购人予以</w:t>
      </w:r>
      <w:r>
        <w:rPr>
          <w:rFonts w:ascii="仿宋_GB2312" w:eastAsia="仿宋_GB2312"/>
          <w:sz w:val="24"/>
        </w:rPr>
        <w:t>无息退还</w:t>
      </w:r>
      <w:r>
        <w:rPr>
          <w:rFonts w:hint="eastAsia" w:ascii="仿宋_GB2312" w:eastAsia="仿宋_GB2312"/>
          <w:sz w:val="24"/>
        </w:rPr>
        <w:t>。</w:t>
      </w:r>
    </w:p>
    <w:p>
      <w:pPr>
        <w:spacing w:line="360" w:lineRule="auto"/>
        <w:jc w:val="left"/>
        <w:rPr>
          <w:rFonts w:ascii="仿宋_GB2312" w:eastAsia="仿宋_GB2312"/>
          <w:bCs/>
          <w:sz w:val="24"/>
        </w:rPr>
      </w:pPr>
      <w:r>
        <w:rPr>
          <w:rFonts w:ascii="仿宋_GB2312" w:hAnsi="宋体" w:eastAsia="仿宋_GB2312"/>
          <w:bCs/>
          <w:sz w:val="24"/>
        </w:rPr>
        <w:t>10</w:t>
      </w:r>
      <w:r>
        <w:rPr>
          <w:rFonts w:hint="eastAsia" w:ascii="仿宋_GB2312" w:hAnsi="宋体" w:eastAsia="仿宋_GB2312"/>
          <w:bCs/>
          <w:sz w:val="24"/>
        </w:rPr>
        <w:t>.评标办法</w:t>
      </w:r>
      <w:r>
        <w:rPr>
          <w:rFonts w:hint="eastAsia" w:ascii="仿宋_GB2312" w:hAnsi="宋体" w:eastAsia="仿宋_GB2312"/>
          <w:bCs/>
          <w:color w:val="FF0000"/>
          <w:sz w:val="24"/>
        </w:rPr>
        <w:t>（请在以下两种评标方法中选其一即可，同时删除另一种评标办法）</w:t>
      </w:r>
    </w:p>
    <w:p>
      <w:pPr>
        <w:spacing w:line="360" w:lineRule="auto"/>
        <w:ind w:firstLine="480" w:firstLineChars="200"/>
        <w:jc w:val="left"/>
        <w:rPr>
          <w:rFonts w:ascii="仿宋_GB2312" w:hAnsi="宋体" w:eastAsia="仿宋_GB2312"/>
          <w:bCs/>
          <w:sz w:val="24"/>
        </w:rPr>
      </w:pPr>
      <w:r>
        <w:rPr>
          <w:rFonts w:hint="eastAsia" w:ascii="仿宋_GB2312" w:hAnsi="宋体" w:eastAsia="仿宋_GB2312"/>
          <w:bCs/>
          <w:sz w:val="24"/>
        </w:rPr>
        <w:t>最低评标价法。</w:t>
      </w:r>
    </w:p>
    <w:p>
      <w:pPr>
        <w:spacing w:line="360" w:lineRule="auto"/>
        <w:ind w:firstLine="480" w:firstLineChars="200"/>
        <w:jc w:val="left"/>
        <w:rPr>
          <w:rFonts w:ascii="仿宋_GB2312" w:eastAsia="仿宋_GB2312" w:cs="宋体"/>
          <w:sz w:val="24"/>
        </w:rPr>
      </w:pPr>
      <w:r>
        <w:rPr>
          <w:rFonts w:hint="eastAsia" w:ascii="仿宋_GB2312" w:hAnsi="宋体" w:eastAsia="仿宋_GB2312"/>
          <w:bCs/>
          <w:sz w:val="24"/>
        </w:rPr>
        <w:t>综合评分法。</w:t>
      </w:r>
    </w:p>
    <w:p>
      <w:pPr>
        <w:spacing w:line="360" w:lineRule="auto"/>
        <w:jc w:val="left"/>
        <w:rPr>
          <w:rFonts w:ascii="仿宋_GB2312" w:eastAsia="仿宋_GB2312"/>
          <w:b/>
          <w:bCs/>
          <w:color w:val="FF0000"/>
          <w:sz w:val="24"/>
        </w:rPr>
      </w:pPr>
      <w:r>
        <w:rPr>
          <w:rFonts w:hint="eastAsia" w:ascii="仿宋_GB2312" w:hAnsi="宋体" w:eastAsia="仿宋_GB2312"/>
          <w:b/>
          <w:bCs/>
          <w:color w:val="FF0000"/>
          <w:sz w:val="24"/>
        </w:rPr>
        <w:t>注：评标方法释义</w:t>
      </w:r>
    </w:p>
    <w:p>
      <w:pPr>
        <w:spacing w:line="360" w:lineRule="auto"/>
        <w:ind w:firstLine="240" w:firstLineChars="100"/>
        <w:jc w:val="left"/>
        <w:rPr>
          <w:rFonts w:ascii="仿宋_GB2312" w:eastAsia="仿宋_GB2312"/>
          <w:bCs/>
          <w:color w:val="FF0000"/>
          <w:sz w:val="24"/>
        </w:rPr>
      </w:pPr>
      <w:r>
        <w:rPr>
          <w:rFonts w:hint="eastAsia" w:ascii="仿宋_GB2312" w:hAnsi="宋体" w:eastAsia="仿宋_GB2312"/>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pPr>
        <w:spacing w:line="360" w:lineRule="auto"/>
        <w:ind w:firstLine="360" w:firstLineChars="150"/>
        <w:jc w:val="left"/>
        <w:rPr>
          <w:rFonts w:ascii="仿宋_GB2312" w:hAnsi="宋体" w:eastAsia="仿宋_GB2312"/>
          <w:bCs/>
          <w:color w:val="FF0000"/>
          <w:sz w:val="24"/>
        </w:rPr>
      </w:pPr>
      <w:r>
        <w:rPr>
          <w:rFonts w:hint="eastAsia" w:ascii="仿宋_GB2312" w:hAnsi="宋体" w:eastAsia="仿宋_GB2312"/>
          <w:bCs/>
          <w:color w:val="FF0000"/>
          <w:sz w:val="24"/>
        </w:rPr>
        <w:t>（2）综合评分法：是指在最大限度地满足招标文件实质性要求前提下，按照招标文件中规定的各项因素进行综合评审后，以评标总得分最高的投标人作为中标候选供应商或者中标供应商的评标方法。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360" w:firstLineChars="150"/>
        <w:jc w:val="left"/>
        <w:rPr>
          <w:rFonts w:ascii="仿宋_GB2312" w:hAnsi="宋体" w:eastAsia="仿宋_GB2312"/>
          <w:bCs/>
          <w:color w:val="FF0000"/>
          <w:sz w:val="24"/>
        </w:rPr>
      </w:pPr>
      <w:r>
        <w:rPr>
          <w:rFonts w:hint="eastAsia" w:ascii="仿宋_GB2312" w:hAnsi="宋体" w:eastAsia="仿宋_GB2312"/>
          <w:bCs/>
          <w:color w:val="FF0000"/>
          <w:sz w:val="24"/>
        </w:rPr>
        <w:t>基本要求：</w:t>
      </w:r>
    </w:p>
    <w:p>
      <w:pPr>
        <w:pStyle w:val="9"/>
        <w:numPr>
          <w:ilvl w:val="0"/>
          <w:numId w:val="1"/>
        </w:numPr>
        <w:spacing w:line="360" w:lineRule="auto"/>
        <w:ind w:firstLineChars="0"/>
        <w:jc w:val="left"/>
        <w:rPr>
          <w:rFonts w:ascii="仿宋_GB2312" w:hAnsi="宋体" w:eastAsia="仿宋_GB2312"/>
          <w:bCs/>
          <w:color w:val="FF0000"/>
          <w:sz w:val="24"/>
        </w:rPr>
      </w:pPr>
      <w:r>
        <w:rPr>
          <w:rFonts w:hint="eastAsia" w:ascii="仿宋_GB2312" w:hAnsi="宋体" w:eastAsia="仿宋_GB2312"/>
          <w:bCs/>
          <w:color w:val="FF0000"/>
          <w:sz w:val="24"/>
        </w:rPr>
        <w:t>价格分值占比</w:t>
      </w:r>
      <w:r>
        <w:rPr>
          <w:rFonts w:hint="eastAsia" w:ascii="仿宋" w:hAnsi="仿宋" w:eastAsia="仿宋"/>
          <w:bCs/>
          <w:color w:val="FF0000"/>
          <w:sz w:val="24"/>
        </w:rPr>
        <w:t>≥</w:t>
      </w:r>
      <w:r>
        <w:rPr>
          <w:rFonts w:ascii="仿宋_GB2312" w:hAnsi="宋体" w:eastAsia="仿宋_GB2312"/>
          <w:bCs/>
          <w:color w:val="FF0000"/>
          <w:sz w:val="24"/>
        </w:rPr>
        <w:t>2</w:t>
      </w:r>
      <w:r>
        <w:rPr>
          <w:rFonts w:hint="eastAsia" w:ascii="仿宋_GB2312" w:hAnsi="宋体" w:eastAsia="仿宋_GB2312"/>
          <w:bCs/>
          <w:color w:val="FF0000"/>
          <w:sz w:val="24"/>
        </w:rPr>
        <w:t>0%，商务分值占比建议</w:t>
      </w:r>
      <w:r>
        <w:rPr>
          <w:rFonts w:hint="eastAsia" w:ascii="仿宋" w:hAnsi="仿宋" w:eastAsia="仿宋"/>
          <w:bCs/>
          <w:color w:val="FF0000"/>
          <w:sz w:val="24"/>
        </w:rPr>
        <w:t>≤</w:t>
      </w:r>
      <w:r>
        <w:rPr>
          <w:rFonts w:hint="eastAsia" w:ascii="仿宋_GB2312" w:hAnsi="宋体" w:eastAsia="仿宋_GB2312"/>
          <w:bCs/>
          <w:color w:val="FF0000"/>
          <w:sz w:val="24"/>
        </w:rPr>
        <w:t>25%，剩余分值为技术分值，满分100分。</w:t>
      </w:r>
    </w:p>
    <w:p>
      <w:pPr>
        <w:spacing w:line="360" w:lineRule="auto"/>
        <w:jc w:val="left"/>
        <w:rPr>
          <w:rFonts w:ascii="仿宋" w:hAnsi="仿宋" w:eastAsia="仿宋"/>
          <w:bCs/>
          <w:color w:val="FF0000"/>
          <w:sz w:val="24"/>
        </w:rPr>
      </w:pPr>
      <w:r>
        <w:rPr>
          <w:rFonts w:hint="eastAsia" w:ascii="仿宋" w:hAnsi="仿宋" w:eastAsia="仿宋"/>
          <w:bCs/>
          <w:color w:val="FF0000"/>
          <w:sz w:val="24"/>
        </w:rPr>
        <w:t>②单项评分项分值≤3分。</w:t>
      </w:r>
    </w:p>
    <w:p>
      <w:pPr>
        <w:spacing w:line="360" w:lineRule="auto"/>
        <w:jc w:val="left"/>
        <w:rPr>
          <w:rFonts w:ascii="仿宋_GB2312" w:hAnsi="宋体" w:eastAsia="仿宋_GB2312"/>
          <w:bCs/>
          <w:color w:val="FF0000"/>
          <w:sz w:val="24"/>
        </w:rPr>
      </w:pPr>
      <w:r>
        <w:rPr>
          <w:rFonts w:hint="eastAsia" w:ascii="仿宋" w:hAnsi="仿宋" w:eastAsia="仿宋"/>
          <w:bCs/>
          <w:color w:val="FF0000"/>
          <w:sz w:val="24"/>
        </w:rPr>
        <w:t>③产品</w:t>
      </w:r>
      <w:r>
        <w:rPr>
          <w:rFonts w:hint="eastAsia" w:ascii="仿宋_GB2312" w:hAnsi="宋体" w:eastAsia="仿宋_GB2312"/>
          <w:bCs/>
          <w:color w:val="FF0000"/>
          <w:sz w:val="24"/>
        </w:rPr>
        <w:t>演示评分分值总分</w:t>
      </w:r>
      <w:r>
        <w:rPr>
          <w:rFonts w:hint="eastAsia" w:ascii="仿宋" w:hAnsi="仿宋" w:eastAsia="仿宋"/>
          <w:bCs/>
          <w:color w:val="FF0000"/>
          <w:sz w:val="24"/>
        </w:rPr>
        <w:t>≤</w:t>
      </w:r>
      <w:r>
        <w:rPr>
          <w:rFonts w:hint="eastAsia" w:ascii="仿宋_GB2312" w:hAnsi="宋体" w:eastAsia="仿宋_GB2312"/>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w:t>
      </w:r>
      <w:r>
        <w:rPr>
          <w:rFonts w:hint="eastAsia" w:ascii="仿宋" w:hAnsi="仿宋" w:eastAsia="仿宋"/>
          <w:bCs/>
          <w:color w:val="FF0000"/>
          <w:sz w:val="24"/>
        </w:rPr>
        <w:t>产品</w:t>
      </w:r>
      <w:r>
        <w:rPr>
          <w:rFonts w:hint="eastAsia" w:ascii="仿宋_GB2312" w:hAnsi="宋体" w:eastAsia="仿宋_GB2312"/>
          <w:bCs/>
          <w:color w:val="FF0000"/>
          <w:sz w:val="24"/>
        </w:rPr>
        <w:t>演示非必须评分项，请根据实际需求设置</w:t>
      </w:r>
      <w:r>
        <w:rPr>
          <w:rFonts w:hint="eastAsia" w:ascii="仿宋" w:hAnsi="仿宋" w:eastAsia="仿宋"/>
          <w:bCs/>
          <w:color w:val="FF0000"/>
          <w:sz w:val="24"/>
        </w:rPr>
        <w:t>产品</w:t>
      </w:r>
      <w:r>
        <w:rPr>
          <w:rFonts w:hint="eastAsia" w:ascii="仿宋_GB2312" w:hAnsi="宋体" w:eastAsia="仿宋_GB2312"/>
          <w:bCs/>
          <w:color w:val="FF0000"/>
          <w:sz w:val="24"/>
        </w:rPr>
        <w:t>演示评分条款。</w:t>
      </w:r>
    </w:p>
    <w:p>
      <w:pPr>
        <w:spacing w:line="360" w:lineRule="auto"/>
        <w:jc w:val="left"/>
        <w:rPr>
          <w:rFonts w:ascii="仿宋_GB2312" w:hAnsi="宋体" w:eastAsia="仿宋_GB2312"/>
          <w:bCs/>
          <w:color w:val="FF0000"/>
          <w:sz w:val="24"/>
        </w:rPr>
      </w:pPr>
      <w:r>
        <w:rPr>
          <w:rFonts w:hint="eastAsia" w:ascii="宋体" w:hAnsi="宋体"/>
          <w:bCs/>
          <w:color w:val="FF0000"/>
          <w:sz w:val="24"/>
        </w:rPr>
        <w:t>④</w:t>
      </w:r>
      <w:r>
        <w:rPr>
          <w:rFonts w:hint="eastAsia" w:ascii="仿宋_GB2312" w:hAnsi="宋体" w:eastAsia="仿宋_GB2312"/>
          <w:bCs/>
          <w:color w:val="FF0000"/>
          <w:sz w:val="24"/>
        </w:rPr>
        <w:t>所有非国家强制类证书分值</w:t>
      </w:r>
      <w:r>
        <w:rPr>
          <w:rFonts w:hint="eastAsia" w:ascii="仿宋" w:hAnsi="仿宋" w:eastAsia="仿宋"/>
          <w:bCs/>
          <w:color w:val="FF0000"/>
          <w:sz w:val="24"/>
        </w:rPr>
        <w:t>≤</w:t>
      </w:r>
      <w:r>
        <w:rPr>
          <w:rFonts w:hint="eastAsia" w:ascii="仿宋_GB2312" w:hAnsi="宋体" w:eastAsia="仿宋_GB2312"/>
          <w:bCs/>
          <w:color w:val="FF0000"/>
          <w:sz w:val="24"/>
        </w:rPr>
        <w:t>1分。</w:t>
      </w:r>
    </w:p>
    <w:p>
      <w:pPr>
        <w:spacing w:line="360" w:lineRule="auto"/>
        <w:jc w:val="left"/>
        <w:rPr>
          <w:rFonts w:ascii="仿宋_GB2312" w:hAnsi="宋体" w:eastAsia="仿宋_GB2312"/>
          <w:b/>
          <w:bCs/>
          <w:color w:val="FF0000"/>
          <w:sz w:val="32"/>
        </w:rPr>
      </w:pPr>
      <w:r>
        <w:rPr>
          <w:rFonts w:hint="eastAsia" w:ascii="仿宋" w:hAnsi="仿宋" w:eastAsia="仿宋"/>
          <w:b/>
          <w:bCs/>
          <w:color w:val="FF0000"/>
          <w:sz w:val="32"/>
          <w:highlight w:val="yellow"/>
        </w:rPr>
        <w:t>⑤在“评标方法描述”栏填写的评审要求的阐述必须客观量化，细化评分标准，不能要求横向评议，不能使用“优、良、差、第一、第二、合理、基本可行、较可行、较合理”等主观性强、笼统概括、抽象的词语，不能要求专家主观评判。</w:t>
      </w:r>
    </w:p>
    <w:p>
      <w:pPr>
        <w:spacing w:line="360" w:lineRule="auto"/>
        <w:jc w:val="left"/>
        <w:rPr>
          <w:rFonts w:ascii="仿宋_GB2312" w:hAnsi="宋体" w:eastAsia="仿宋_GB2312"/>
          <w:bCs/>
          <w:color w:val="FF0000"/>
          <w:sz w:val="24"/>
        </w:rPr>
      </w:pPr>
    </w:p>
    <w:p>
      <w:pPr>
        <w:spacing w:line="360" w:lineRule="auto"/>
        <w:ind w:firstLine="643" w:firstLineChars="200"/>
        <w:jc w:val="left"/>
        <w:rPr>
          <w:rFonts w:ascii="仿宋_GB2312" w:hAnsi="宋体" w:eastAsia="仿宋_GB2312"/>
          <w:b/>
          <w:bCs/>
          <w:color w:val="FF0000"/>
          <w:sz w:val="32"/>
          <w:szCs w:val="30"/>
        </w:rPr>
      </w:pPr>
      <w:r>
        <w:rPr>
          <w:rFonts w:hint="eastAsia" w:ascii="仿宋_GB2312" w:hAnsi="宋体" w:eastAsia="仿宋_GB2312"/>
          <w:b/>
          <w:bCs/>
          <w:color w:val="FF0000"/>
          <w:sz w:val="32"/>
          <w:szCs w:val="30"/>
        </w:rPr>
        <w:t>综合评分参考样式：（注：以下评分分值、内容仅供参考，请据实采纳、调整、删除，切勿照搬）</w:t>
      </w:r>
    </w:p>
    <w:p>
      <w:pPr>
        <w:spacing w:line="360" w:lineRule="auto"/>
        <w:jc w:val="left"/>
        <w:rPr>
          <w:rFonts w:ascii="仿宋_GB2312" w:hAnsi="宋体" w:eastAsia="仿宋_GB2312"/>
          <w:bCs/>
          <w:sz w:val="24"/>
        </w:rPr>
      </w:pPr>
      <w:r>
        <w:rPr>
          <w:rFonts w:hint="eastAsia" w:ascii="仿宋_GB2312" w:hAnsi="宋体" w:eastAsia="仿宋_GB2312"/>
          <w:bCs/>
          <w:sz w:val="24"/>
        </w:rPr>
        <w:t>一、技术部分（   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6"/>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r>
              <w:rPr>
                <w:rFonts w:hint="eastAsia" w:ascii="仿宋_GB2312" w:hAnsi="宋体" w:eastAsia="仿宋_GB2312"/>
                <w:bCs/>
                <w:sz w:val="24"/>
              </w:rPr>
              <w:t>评标项目</w:t>
            </w:r>
          </w:p>
        </w:tc>
        <w:tc>
          <w:tcPr>
            <w:tcW w:w="855" w:type="pct"/>
          </w:tcPr>
          <w:p>
            <w:pPr>
              <w:spacing w:line="360" w:lineRule="auto"/>
              <w:jc w:val="left"/>
              <w:rPr>
                <w:rFonts w:ascii="仿宋_GB2312" w:hAnsi="宋体" w:eastAsia="仿宋_GB2312"/>
                <w:bCs/>
                <w:sz w:val="24"/>
              </w:rPr>
            </w:pPr>
            <w:r>
              <w:rPr>
                <w:rFonts w:hint="eastAsia" w:ascii="仿宋_GB2312" w:hAnsi="宋体" w:eastAsia="仿宋_GB2312"/>
                <w:bCs/>
                <w:sz w:val="24"/>
              </w:rPr>
              <w:t>评标分值</w:t>
            </w:r>
          </w:p>
        </w:tc>
        <w:tc>
          <w:tcPr>
            <w:tcW w:w="3390" w:type="pct"/>
          </w:tcPr>
          <w:p>
            <w:pPr>
              <w:spacing w:line="360" w:lineRule="auto"/>
              <w:jc w:val="left"/>
              <w:rPr>
                <w:rFonts w:ascii="仿宋_GB2312" w:hAnsi="宋体" w:eastAsia="仿宋_GB2312"/>
                <w:bCs/>
                <w:sz w:val="24"/>
              </w:rPr>
            </w:pPr>
            <w:r>
              <w:rPr>
                <w:rFonts w:hint="eastAsia" w:ascii="仿宋_GB2312" w:hAnsi="宋体" w:eastAsia="仿宋_GB2312"/>
                <w:bCs/>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服务内容响应情况</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40（单项分值不高于3分）</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sz w:val="24"/>
              </w:rPr>
              <w:t>根据各投标人对招标文件第五章的“技术和服务要求”</w:t>
            </w:r>
            <w:r>
              <w:rPr>
                <w:rFonts w:hint="eastAsia" w:ascii="仿宋_GB2312" w:hAnsi="宋体" w:eastAsia="仿宋_GB2312"/>
                <w:bCs/>
                <w:color w:val="000000" w:themeColor="text1"/>
                <w:sz w:val="24"/>
              </w:rPr>
              <w:t>第二条 “技术和服务要求”中“合同包1”</w:t>
            </w:r>
            <w:r>
              <w:rPr>
                <w:rFonts w:hint="eastAsia" w:ascii="仿宋_GB2312" w:hAnsi="宋体" w:eastAsia="仿宋_GB2312"/>
                <w:bCs/>
                <w:sz w:val="24"/>
              </w:rPr>
              <w:t>的逐项响应承诺等方面情况进行评分，投标人全部满足招标文件要求的得</w:t>
            </w:r>
            <w:r>
              <w:rPr>
                <w:rFonts w:hint="eastAsia" w:ascii="仿宋_GB2312" w:hAnsi="宋体" w:eastAsia="仿宋_GB2312"/>
                <w:bCs/>
                <w:color w:val="FF0000"/>
                <w:sz w:val="24"/>
              </w:rPr>
              <w:t>40</w:t>
            </w:r>
            <w:r>
              <w:rPr>
                <w:rFonts w:hint="eastAsia" w:ascii="仿宋_GB2312" w:hAnsi="宋体" w:eastAsia="仿宋_GB2312"/>
                <w:bCs/>
                <w:sz w:val="24"/>
              </w:rPr>
              <w:t>分。</w:t>
            </w:r>
            <w:r>
              <w:rPr>
                <w:rFonts w:hint="eastAsia" w:ascii="仿宋_GB2312" w:hAnsi="宋体" w:eastAsia="仿宋_GB2312"/>
                <w:bCs/>
                <w:color w:val="FF0000"/>
                <w:sz w:val="24"/>
                <w:highlight w:val="yellow"/>
              </w:rPr>
              <w:t>（</w:t>
            </w:r>
            <w:r>
              <w:rPr>
                <w:rFonts w:hint="eastAsia" w:ascii="仿宋_GB2312" w:hAnsi="宋体" w:eastAsia="仿宋_GB2312"/>
                <w:bCs/>
                <w:color w:val="FF0000"/>
                <w:sz w:val="24"/>
                <w:highlight w:val="yellow"/>
                <w:u w:val="double"/>
              </w:rPr>
              <w:t>此项分值应按前文技术参数逐条量化后计算总分值</w:t>
            </w:r>
            <w:r>
              <w:rPr>
                <w:rFonts w:hint="eastAsia" w:ascii="仿宋_GB2312" w:hAnsi="宋体" w:eastAsia="仿宋_GB2312"/>
                <w:bCs/>
                <w:color w:val="FF0000"/>
                <w:sz w:val="24"/>
                <w:highlight w:val="yellow"/>
              </w:rPr>
              <w:t>，如前文技术参数共计</w:t>
            </w:r>
            <w:r>
              <w:rPr>
                <w:rFonts w:ascii="仿宋_GB2312" w:hAnsi="宋体" w:eastAsia="仿宋_GB2312"/>
                <w:bCs/>
                <w:color w:val="FF0000"/>
                <w:sz w:val="24"/>
                <w:highlight w:val="yellow"/>
              </w:rPr>
              <w:t>30</w:t>
            </w:r>
            <w:r>
              <w:rPr>
                <w:rFonts w:hint="eastAsia" w:ascii="仿宋_GB2312" w:hAnsi="宋体" w:eastAsia="仿宋_GB2312"/>
                <w:bCs/>
                <w:color w:val="FF0000"/>
                <w:sz w:val="24"/>
                <w:highlight w:val="yellow"/>
              </w:rPr>
              <w:t>项，每项1.</w:t>
            </w:r>
            <w:r>
              <w:rPr>
                <w:rFonts w:ascii="仿宋_GB2312" w:hAnsi="宋体" w:eastAsia="仿宋_GB2312"/>
                <w:bCs/>
                <w:color w:val="FF0000"/>
                <w:sz w:val="24"/>
                <w:highlight w:val="yellow"/>
              </w:rPr>
              <w:t>5</w:t>
            </w:r>
            <w:r>
              <w:rPr>
                <w:rFonts w:hint="eastAsia" w:ascii="仿宋_GB2312" w:hAnsi="宋体" w:eastAsia="仿宋_GB2312"/>
                <w:bCs/>
                <w:color w:val="FF0000"/>
                <w:sz w:val="24"/>
                <w:highlight w:val="yellow"/>
              </w:rPr>
              <w:t>分，总分即4</w:t>
            </w:r>
            <w:r>
              <w:rPr>
                <w:rFonts w:ascii="仿宋_GB2312" w:hAnsi="宋体" w:eastAsia="仿宋_GB2312"/>
                <w:bCs/>
                <w:color w:val="FF0000"/>
                <w:sz w:val="24"/>
                <w:highlight w:val="yellow"/>
              </w:rPr>
              <w:t>5</w:t>
            </w:r>
            <w:r>
              <w:rPr>
                <w:rFonts w:hint="eastAsia" w:ascii="仿宋_GB2312" w:hAnsi="宋体" w:eastAsia="仿宋_GB2312"/>
                <w:bCs/>
                <w:color w:val="FF0000"/>
                <w:sz w:val="24"/>
                <w:highlight w:val="yellow"/>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例1：标注“▲”号的技术参数（共X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分；未带“▲”号的技术参数，以每项服务为一个评分项（共X</w:t>
            </w:r>
            <w:r>
              <w:rPr>
                <w:rFonts w:ascii="仿宋_GB2312" w:hAnsi="宋体" w:eastAsia="仿宋_GB2312"/>
                <w:bCs/>
                <w:color w:val="FF0000"/>
                <w:sz w:val="24"/>
              </w:rPr>
              <w:t>X</w:t>
            </w:r>
            <w:r>
              <w:rPr>
                <w:rFonts w:hint="eastAsia" w:ascii="仿宋_GB2312" w:hAnsi="宋体" w:eastAsia="仿宋_GB2312"/>
                <w:bCs/>
                <w:color w:val="FF0000"/>
                <w:sz w:val="24"/>
              </w:rPr>
              <w:t>项），一项服务出现负偏离即扣</w:t>
            </w:r>
            <w:r>
              <w:rPr>
                <w:rFonts w:ascii="仿宋_GB2312" w:hAnsi="宋体" w:eastAsia="仿宋_GB2312"/>
                <w:bCs/>
                <w:color w:val="FF0000"/>
                <w:sz w:val="24"/>
              </w:rPr>
              <w:t>XX</w:t>
            </w:r>
            <w:r>
              <w:rPr>
                <w:rFonts w:hint="eastAsia" w:ascii="仿宋_GB2312" w:hAnsi="宋体" w:eastAsia="仿宋_GB2312"/>
                <w:bCs/>
                <w:color w:val="FF0000"/>
                <w:sz w:val="24"/>
              </w:rPr>
              <w:t>分。 或者以几条服务内容作为一个项号（共X</w:t>
            </w:r>
            <w:r>
              <w:rPr>
                <w:rFonts w:ascii="仿宋_GB2312" w:hAnsi="宋体" w:eastAsia="仿宋_GB2312"/>
                <w:bCs/>
                <w:color w:val="FF0000"/>
                <w:sz w:val="24"/>
              </w:rPr>
              <w:t>X</w:t>
            </w:r>
            <w:r>
              <w:rPr>
                <w:rFonts w:hint="eastAsia" w:ascii="仿宋_GB2312" w:hAnsi="宋体" w:eastAsia="仿宋_GB2312"/>
                <w:bCs/>
                <w:color w:val="FF0000"/>
                <w:sz w:val="24"/>
              </w:rPr>
              <w:t>项），每个项号出现负偏离即扣</w:t>
            </w:r>
            <w:r>
              <w:rPr>
                <w:rFonts w:ascii="仿宋_GB2312" w:hAnsi="宋体" w:eastAsia="仿宋_GB2312"/>
                <w:bCs/>
                <w:color w:val="FF0000"/>
                <w:sz w:val="24"/>
              </w:rPr>
              <w:t>XX</w:t>
            </w:r>
            <w:r>
              <w:rPr>
                <w:rFonts w:hint="eastAsia" w:ascii="仿宋_GB2312" w:hAnsi="宋体" w:eastAsia="仿宋_GB2312"/>
                <w:bCs/>
                <w:color w:val="FF0000"/>
                <w:sz w:val="24"/>
              </w:rPr>
              <w:t>分。或者所有服务内容（共计X</w:t>
            </w:r>
            <w:r>
              <w:rPr>
                <w:rFonts w:ascii="仿宋_GB2312" w:hAnsi="宋体" w:eastAsia="仿宋_GB2312"/>
                <w:bCs/>
                <w:color w:val="FF0000"/>
                <w:sz w:val="24"/>
              </w:rPr>
              <w:t>X</w:t>
            </w:r>
            <w:r>
              <w:rPr>
                <w:rFonts w:hint="eastAsia" w:ascii="仿宋_GB2312" w:hAnsi="宋体" w:eastAsia="仿宋_GB2312"/>
                <w:bCs/>
                <w:color w:val="FF0000"/>
                <w:sz w:val="24"/>
              </w:rPr>
              <w:t>条）每负偏离一条扣</w:t>
            </w:r>
            <w:r>
              <w:rPr>
                <w:rFonts w:ascii="仿宋_GB2312" w:hAnsi="宋体" w:eastAsia="仿宋_GB2312"/>
                <w:bCs/>
                <w:color w:val="FF0000"/>
                <w:sz w:val="24"/>
              </w:rPr>
              <w:t>XX</w:t>
            </w:r>
            <w:r>
              <w:rPr>
                <w:rFonts w:hint="eastAsia" w:ascii="仿宋_GB2312" w:hAnsi="宋体" w:eastAsia="仿宋_GB2312"/>
                <w:bCs/>
                <w:color w:val="FF0000"/>
                <w:sz w:val="24"/>
              </w:rPr>
              <w:t>分。或者序号X</w:t>
            </w:r>
            <w:r>
              <w:rPr>
                <w:rFonts w:ascii="仿宋_GB2312" w:hAnsi="宋体" w:eastAsia="仿宋_GB2312"/>
                <w:bCs/>
                <w:color w:val="FF0000"/>
                <w:sz w:val="24"/>
              </w:rPr>
              <w:t>X</w:t>
            </w:r>
            <w:r>
              <w:rPr>
                <w:rFonts w:hint="eastAsia" w:ascii="仿宋_GB2312" w:hAnsi="宋体" w:eastAsia="仿宋_GB2312"/>
                <w:bCs/>
                <w:color w:val="FF0000"/>
                <w:sz w:val="24"/>
              </w:rPr>
              <w:t>、序号X</w:t>
            </w:r>
            <w:r>
              <w:rPr>
                <w:rFonts w:ascii="仿宋_GB2312" w:hAnsi="宋体" w:eastAsia="仿宋_GB2312"/>
                <w:bCs/>
                <w:color w:val="FF0000"/>
                <w:sz w:val="24"/>
              </w:rPr>
              <w:t>X</w:t>
            </w:r>
            <w:r>
              <w:rPr>
                <w:rFonts w:hint="eastAsia" w:ascii="仿宋_GB2312" w:hAnsi="宋体" w:eastAsia="仿宋_GB2312"/>
                <w:bCs/>
                <w:color w:val="FF0000"/>
                <w:sz w:val="24"/>
              </w:rPr>
              <w:t>等服务内容以每项服务内容为一个评分项，一项服务内容出现负偏离即扣</w:t>
            </w:r>
            <w:r>
              <w:rPr>
                <w:rFonts w:ascii="仿宋_GB2312" w:hAnsi="宋体" w:eastAsia="仿宋_GB2312"/>
                <w:bCs/>
                <w:color w:val="FF0000"/>
                <w:sz w:val="24"/>
              </w:rPr>
              <w:t>XX</w:t>
            </w:r>
            <w:r>
              <w:rPr>
                <w:rFonts w:hint="eastAsia" w:ascii="仿宋_GB2312" w:hAnsi="宋体" w:eastAsia="仿宋_GB2312"/>
                <w:bCs/>
                <w:color w:val="FF0000"/>
                <w:sz w:val="24"/>
              </w:rPr>
              <w:t>分（分值相对高），其余序号服务内容以每项服务内容为一个评分项，一项服务内容出现负偏离即扣</w:t>
            </w:r>
            <w:r>
              <w:rPr>
                <w:rFonts w:ascii="仿宋_GB2312" w:hAnsi="宋体" w:eastAsia="仿宋_GB2312"/>
                <w:bCs/>
                <w:color w:val="FF0000"/>
                <w:sz w:val="24"/>
              </w:rPr>
              <w:t>XX</w:t>
            </w:r>
            <w:r>
              <w:rPr>
                <w:rFonts w:hint="eastAsia" w:ascii="仿宋_GB2312" w:hAnsi="宋体" w:eastAsia="仿宋_GB2312"/>
                <w:bCs/>
                <w:color w:val="FF0000"/>
                <w:sz w:val="24"/>
              </w:rPr>
              <w:t>分（分值相对低）。</w:t>
            </w:r>
          </w:p>
          <w:p>
            <w:pPr>
              <w:spacing w:line="360" w:lineRule="auto"/>
              <w:jc w:val="left"/>
              <w:rPr>
                <w:rFonts w:ascii="仿宋_GB2312" w:hAnsi="宋体" w:eastAsia="仿宋_GB2312"/>
                <w:bCs/>
                <w:color w:val="FF0000"/>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例2：技术参数每负偏离一项扣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例3：标注“★”号的技术参数为重要指标，不允许负偏离，否则视为无效投标。未标注“★”号的技术参数每负偏离一项扣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例4：标注“★”号的技术参数为重要指标（X</w:t>
            </w:r>
            <w:r>
              <w:rPr>
                <w:rFonts w:ascii="仿宋_GB2312" w:hAnsi="宋体" w:eastAsia="仿宋_GB2312"/>
                <w:bCs/>
                <w:color w:val="FF0000"/>
                <w:sz w:val="24"/>
              </w:rPr>
              <w:t>X</w:t>
            </w:r>
            <w:r>
              <w:rPr>
                <w:rFonts w:hint="eastAsia" w:ascii="仿宋_GB2312" w:hAnsi="宋体" w:eastAsia="仿宋_GB2312"/>
                <w:bCs/>
                <w:color w:val="FF0000"/>
                <w:sz w:val="24"/>
              </w:rPr>
              <w:t>项），不允许负偏离，否则视为无效投标。标注“▲”号的技术参数（X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分；未带“▲”、“★”号的技术参数（X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演示要求</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演示内容：应列明演示“品目号1-X产品名称”的具体某一条参数条款（此参数条款应在“2.服务内容及相关要求”中已作出要求），量化演示内容评分依据（如从演示完成度量化分值、从视频呈现效果量化分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r>
              <w:rPr>
                <w:rFonts w:ascii="仿宋_GB2312" w:hAnsi="宋体" w:eastAsia="仿宋_GB2312"/>
                <w:bCs/>
                <w:sz w:val="24"/>
              </w:rPr>
              <w:t>……</w:t>
            </w:r>
          </w:p>
        </w:tc>
        <w:tc>
          <w:tcPr>
            <w:tcW w:w="855" w:type="pct"/>
          </w:tcPr>
          <w:p>
            <w:pPr>
              <w:spacing w:line="360" w:lineRule="auto"/>
              <w:jc w:val="left"/>
              <w:rPr>
                <w:rFonts w:ascii="仿宋_GB2312" w:hAnsi="宋体" w:eastAsia="仿宋_GB2312"/>
                <w:bCs/>
                <w:sz w:val="24"/>
              </w:rPr>
            </w:pPr>
          </w:p>
        </w:tc>
        <w:tc>
          <w:tcPr>
            <w:tcW w:w="3390" w:type="pct"/>
          </w:tcPr>
          <w:p>
            <w:pPr>
              <w:spacing w:line="360" w:lineRule="auto"/>
              <w:jc w:val="left"/>
              <w:rPr>
                <w:rFonts w:ascii="仿宋_GB2312" w:hAnsi="宋体" w:eastAsia="仿宋_GB2312"/>
                <w:bCs/>
                <w:sz w:val="24"/>
              </w:rPr>
            </w:pPr>
          </w:p>
        </w:tc>
      </w:tr>
    </w:tbl>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二、商务部分（  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6"/>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评标项目</w:t>
            </w:r>
          </w:p>
        </w:tc>
        <w:tc>
          <w:tcPr>
            <w:tcW w:w="8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评标分值</w:t>
            </w:r>
          </w:p>
        </w:tc>
        <w:tc>
          <w:tcPr>
            <w:tcW w:w="3390"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业绩</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 xml:space="preserve">根据投标人提供的自20XX年以来（以合同/验收签订时间为准）承接过同类项目的业绩情况进行评议，每提供一份业绩得1分，满分3分。投标人须提供该业绩项目以下资料复印件，并加盖投标人公章：①中标（成交）公告（提供相关网站中标或成交公告的下载网页及其网址）；②中标（成交）通知书；③采购合同文本；④能够证明该业绩项目已经采购人验收合格的相关证明文件。所有材料缺一不可，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项目团队投入情况</w:t>
            </w:r>
          </w:p>
        </w:tc>
        <w:tc>
          <w:tcPr>
            <w:tcW w:w="855" w:type="pct"/>
          </w:tcPr>
          <w:p>
            <w:pPr>
              <w:spacing w:line="360" w:lineRule="auto"/>
              <w:jc w:val="left"/>
              <w:rPr>
                <w:rFonts w:ascii="仿宋_GB2312" w:hAnsi="宋体" w:eastAsia="仿宋_GB2312"/>
                <w:bCs/>
                <w:color w:val="FF0000"/>
                <w:sz w:val="24"/>
              </w:rPr>
            </w:pP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供应商拟派出的项目团队人员（供应商应列明团队人员名单，包括不限于姓名、联系电话、岗位分工等内容，提供其为人员缴纳近3个月社保证明材料）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培训方案</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参考样式一:</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根据各投标人对本项目所提供的技术培训方案，包括1.技术培训内容；</w:t>
            </w:r>
            <w:r>
              <w:rPr>
                <w:rFonts w:ascii="仿宋_GB2312" w:hAnsi="宋体" w:eastAsia="仿宋_GB2312"/>
                <w:bCs/>
                <w:color w:val="FF0000"/>
                <w:sz w:val="24"/>
              </w:rPr>
              <w:t>2.</w:t>
            </w:r>
            <w:r>
              <w:rPr>
                <w:rFonts w:hint="eastAsia" w:ascii="仿宋_GB2312" w:hAnsi="宋体" w:eastAsia="仿宋_GB2312"/>
                <w:bCs/>
                <w:color w:val="FF0000"/>
                <w:sz w:val="24"/>
              </w:rPr>
              <w:t>培训时间安排；</w:t>
            </w:r>
            <w:r>
              <w:rPr>
                <w:rFonts w:ascii="仿宋_GB2312" w:hAnsi="宋体" w:eastAsia="仿宋_GB2312"/>
                <w:bCs/>
                <w:color w:val="FF0000"/>
                <w:sz w:val="24"/>
              </w:rPr>
              <w:t>3.</w:t>
            </w:r>
            <w:r>
              <w:rPr>
                <w:rFonts w:hint="eastAsia" w:ascii="仿宋_GB2312" w:hAnsi="宋体" w:eastAsia="仿宋_GB2312"/>
                <w:bCs/>
                <w:color w:val="FF0000"/>
                <w:sz w:val="24"/>
              </w:rPr>
              <w:t>培训团队人员名单、分工、联系方式;</w:t>
            </w:r>
            <w:r>
              <w:rPr>
                <w:rFonts w:ascii="仿宋_GB2312" w:hAnsi="宋体" w:eastAsia="仿宋_GB2312"/>
                <w:bCs/>
                <w:color w:val="FF0000"/>
                <w:sz w:val="24"/>
              </w:rPr>
              <w:t>4.</w:t>
            </w:r>
            <w:r>
              <w:rPr>
                <w:rFonts w:hint="eastAsia" w:ascii="仿宋_GB2312" w:hAnsi="宋体" w:eastAsia="仿宋_GB2312"/>
                <w:bCs/>
                <w:color w:val="FF0000"/>
                <w:sz w:val="24"/>
              </w:rPr>
              <w:t>培训形式；</w:t>
            </w:r>
            <w:r>
              <w:rPr>
                <w:rFonts w:ascii="仿宋_GB2312" w:hAnsi="宋体" w:eastAsia="仿宋_GB2312"/>
                <w:bCs/>
                <w:color w:val="FF0000"/>
                <w:sz w:val="24"/>
              </w:rPr>
              <w:t>5</w:t>
            </w:r>
            <w:r>
              <w:rPr>
                <w:rFonts w:hint="eastAsia" w:ascii="仿宋_GB2312" w:hAnsi="宋体" w:eastAsia="仿宋_GB2312"/>
                <w:bCs/>
                <w:color w:val="FF0000"/>
                <w:sz w:val="24"/>
              </w:rPr>
              <w:t>.保障培训效果的措施共五项要点并展开描述。在方案内容与要点相符、内容详实、各要点内容之间关联性强，逻辑清晰合理，且按现有客观实际情况和项目特征可以有效实施的且对采购人实用的前提下，由评标委员会进行评议,方案要点齐全的得3分，方案要点仅缺一项的得1,5分，其他情况或未提供采购方案的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参考样式二:</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根据各投标人对本项目所提供的技术培训方案，包括1.技术培训内容；</w:t>
            </w:r>
            <w:r>
              <w:rPr>
                <w:rFonts w:ascii="仿宋_GB2312" w:hAnsi="宋体" w:eastAsia="仿宋_GB2312"/>
                <w:bCs/>
                <w:color w:val="FF0000"/>
                <w:sz w:val="24"/>
              </w:rPr>
              <w:t>2.</w:t>
            </w:r>
            <w:r>
              <w:rPr>
                <w:rFonts w:hint="eastAsia" w:ascii="仿宋_GB2312" w:hAnsi="宋体" w:eastAsia="仿宋_GB2312"/>
                <w:bCs/>
                <w:color w:val="FF0000"/>
                <w:sz w:val="24"/>
              </w:rPr>
              <w:t>培训时间安排；</w:t>
            </w:r>
            <w:r>
              <w:rPr>
                <w:rFonts w:ascii="仿宋_GB2312" w:hAnsi="宋体" w:eastAsia="仿宋_GB2312"/>
                <w:bCs/>
                <w:color w:val="FF0000"/>
                <w:sz w:val="24"/>
              </w:rPr>
              <w:t>3.</w:t>
            </w:r>
            <w:r>
              <w:rPr>
                <w:rFonts w:hint="eastAsia" w:ascii="仿宋_GB2312" w:hAnsi="宋体" w:eastAsia="仿宋_GB2312"/>
                <w:bCs/>
                <w:color w:val="FF0000"/>
                <w:sz w:val="24"/>
              </w:rPr>
              <w:t>培训团队人员名单、分工、联系方式;</w:t>
            </w:r>
            <w:r>
              <w:rPr>
                <w:rFonts w:ascii="仿宋_GB2312" w:hAnsi="宋体" w:eastAsia="仿宋_GB2312"/>
                <w:bCs/>
                <w:color w:val="FF0000"/>
                <w:sz w:val="24"/>
              </w:rPr>
              <w:t>4.</w:t>
            </w:r>
            <w:r>
              <w:rPr>
                <w:rFonts w:hint="eastAsia" w:ascii="仿宋_GB2312" w:hAnsi="宋体" w:eastAsia="仿宋_GB2312"/>
                <w:bCs/>
                <w:color w:val="FF0000"/>
                <w:sz w:val="24"/>
              </w:rPr>
              <w:t>培训形式；</w:t>
            </w:r>
            <w:r>
              <w:rPr>
                <w:rFonts w:ascii="仿宋_GB2312" w:hAnsi="宋体" w:eastAsia="仿宋_GB2312"/>
                <w:bCs/>
                <w:color w:val="FF0000"/>
                <w:sz w:val="24"/>
              </w:rPr>
              <w:t>5</w:t>
            </w:r>
            <w:r>
              <w:rPr>
                <w:rFonts w:hint="eastAsia" w:ascii="仿宋_GB2312" w:hAnsi="宋体" w:eastAsia="仿宋_GB2312"/>
                <w:bCs/>
                <w:color w:val="FF0000"/>
                <w:sz w:val="24"/>
              </w:rPr>
              <w:t>.保障培训效果的措施共五项要点并展开描述。在方案要点齐全的前提下，由评标委员会进行评议,方案内容与要点相符、内容详实、各要点内容之间关联性强，逻辑清晰合理，且按现有客观实际情况可以有效实施的且对采购人实用的得3分；方案内容与要点相符、内容简单，或各要点内容之间关联性不强、存在部分内容逻辑性欠缺合理，或者按现有客观实际情况和项目特征实施效果不理想、对采购人的实用性不强的得1.5分；其他情况或未提供方案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kern w:val="0"/>
                <w:sz w:val="24"/>
                <w:highlight w:val="yellow"/>
              </w:rPr>
              <w:t>采购需求部门也可根据自身实际情况量化客观评分要求，自行拟定评分要求。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w:t>
            </w:r>
          </w:p>
        </w:tc>
        <w:tc>
          <w:tcPr>
            <w:tcW w:w="855" w:type="pct"/>
          </w:tcPr>
          <w:p>
            <w:pPr>
              <w:spacing w:line="360" w:lineRule="auto"/>
              <w:jc w:val="left"/>
              <w:rPr>
                <w:rFonts w:ascii="仿宋_GB2312" w:hAnsi="宋体" w:eastAsia="仿宋_GB2312"/>
                <w:bCs/>
                <w:color w:val="FF0000"/>
                <w:sz w:val="24"/>
              </w:rPr>
            </w:pPr>
          </w:p>
        </w:tc>
        <w:tc>
          <w:tcPr>
            <w:tcW w:w="3390" w:type="pct"/>
          </w:tcPr>
          <w:p>
            <w:pPr>
              <w:spacing w:line="360" w:lineRule="auto"/>
              <w:jc w:val="left"/>
              <w:rPr>
                <w:rFonts w:ascii="仿宋_GB2312" w:hAnsi="宋体" w:eastAsia="仿宋_GB2312"/>
                <w:bCs/>
                <w:color w:val="FF0000"/>
                <w:sz w:val="24"/>
              </w:rPr>
            </w:pPr>
          </w:p>
        </w:tc>
      </w:tr>
    </w:tbl>
    <w:p>
      <w:pPr>
        <w:spacing w:line="360" w:lineRule="auto"/>
        <w:jc w:val="left"/>
        <w:rPr>
          <w:rFonts w:ascii="仿宋_GB2312" w:hAnsi="宋体" w:eastAsia="仿宋_GB2312"/>
          <w:bCs/>
          <w:sz w:val="24"/>
        </w:rPr>
      </w:pPr>
      <w:r>
        <w:rPr>
          <w:rFonts w:hint="eastAsia" w:ascii="仿宋_GB2312" w:hAnsi="宋体" w:eastAsia="仿宋_GB2312"/>
          <w:bCs/>
          <w:sz w:val="24"/>
        </w:rPr>
        <w:t>三、价格部分（  分）</w:t>
      </w:r>
    </w:p>
    <w:p>
      <w:pPr>
        <w:spacing w:line="360" w:lineRule="auto"/>
        <w:jc w:val="left"/>
        <w:rPr>
          <w:rFonts w:ascii="仿宋_GB2312" w:hAnsi="宋体" w:eastAsia="仿宋_GB2312"/>
          <w:bCs/>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注：定稿采购方案请以命名为“部门名称+项目名称简写+采购方案”的电子文档发送至fjjyzbzx@126.com。</w:t>
      </w:r>
    </w:p>
    <w:p>
      <w:pPr>
        <w:spacing w:line="360" w:lineRule="auto"/>
        <w:ind w:firstLine="360" w:firstLineChars="150"/>
        <w:jc w:val="left"/>
        <w:rPr>
          <w:rFonts w:ascii="仿宋_GB2312" w:eastAsia="仿宋_GB2312"/>
          <w:bCs/>
          <w:sz w:val="24"/>
        </w:rPr>
      </w:pPr>
    </w:p>
    <w:p>
      <w:pPr>
        <w:spacing w:line="360" w:lineRule="auto"/>
        <w:ind w:firstLine="3960" w:firstLineChars="1650"/>
        <w:jc w:val="left"/>
        <w:rPr>
          <w:rFonts w:ascii="仿宋_GB2312" w:hAnsi="宋体" w:eastAsia="仿宋_GB2312"/>
          <w:bCs/>
          <w:sz w:val="24"/>
        </w:rPr>
      </w:pPr>
      <w:r>
        <w:rPr>
          <w:rFonts w:hint="eastAsia" w:ascii="仿宋_GB2312" w:hAnsi="宋体" w:eastAsia="仿宋_GB2312"/>
          <w:bCs/>
          <w:sz w:val="24"/>
        </w:rPr>
        <w:t>申报部门负责人：</w:t>
      </w:r>
    </w:p>
    <w:p>
      <w:pPr>
        <w:spacing w:line="360" w:lineRule="auto"/>
        <w:ind w:right="960" w:firstLine="3840" w:firstLineChars="1600"/>
        <w:rPr>
          <w:rFonts w:ascii="仿宋_GB2312" w:hAnsi="宋体" w:eastAsia="仿宋_GB2312"/>
          <w:bCs/>
          <w:sz w:val="24"/>
        </w:rPr>
      </w:pPr>
      <w:r>
        <w:rPr>
          <w:rFonts w:hint="eastAsia" w:ascii="仿宋_GB2312" w:hAnsi="宋体" w:eastAsia="仿宋_GB2312"/>
          <w:bCs/>
          <w:sz w:val="24"/>
        </w:rPr>
        <w:t>申报部门（盖章）：</w:t>
      </w:r>
    </w:p>
    <w:p>
      <w:pPr>
        <w:spacing w:line="360" w:lineRule="auto"/>
        <w:ind w:right="840"/>
        <w:jc w:val="right"/>
        <w:rPr>
          <w:rFonts w:ascii="仿宋_GB2312" w:eastAsia="仿宋_GB2312"/>
          <w:bCs/>
          <w:sz w:val="24"/>
        </w:rPr>
      </w:pPr>
      <w:r>
        <w:rPr>
          <w:rFonts w:hint="eastAsia" w:ascii="仿宋_GB2312" w:hAnsi="宋体" w:eastAsia="仿宋_GB2312"/>
          <w:bCs/>
          <w:sz w:val="24"/>
        </w:rPr>
        <w:t>年  月  日</w:t>
      </w:r>
    </w:p>
    <w:p/>
    <w:sectPr>
      <w:footerReference r:id="rId3" w:type="default"/>
      <w:pgSz w:w="11906" w:h="16838"/>
      <w:pgMar w:top="1021" w:right="1247"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1720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363A32"/>
    <w:multiLevelType w:val="multilevel"/>
    <w:tmpl w:val="30363A32"/>
    <w:lvl w:ilvl="0" w:tentative="0">
      <w:start w:val="1"/>
      <w:numFmt w:val="decimalEnclosedCircle"/>
      <w:lvlText w:val="%1"/>
      <w:lvlJc w:val="left"/>
      <w:pPr>
        <w:ind w:left="360" w:hanging="360"/>
      </w:pPr>
      <w:rPr>
        <w:rFonts w:hint="default" w:ascii="仿宋" w:hAnsi="仿宋"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4YWU2ODNiNzFiODQyMTM0ZjYwODgyM2JiMDJjMTgifQ=="/>
  </w:docVars>
  <w:rsids>
    <w:rsidRoot w:val="009D0B97"/>
    <w:rsid w:val="00067FBA"/>
    <w:rsid w:val="00074F5D"/>
    <w:rsid w:val="000C5D7B"/>
    <w:rsid w:val="000D48A7"/>
    <w:rsid w:val="000E0501"/>
    <w:rsid w:val="000E0C62"/>
    <w:rsid w:val="000F3FD5"/>
    <w:rsid w:val="00102481"/>
    <w:rsid w:val="00110D2A"/>
    <w:rsid w:val="00113F81"/>
    <w:rsid w:val="001258CC"/>
    <w:rsid w:val="00165CD6"/>
    <w:rsid w:val="00184F5D"/>
    <w:rsid w:val="00190525"/>
    <w:rsid w:val="001A2FE8"/>
    <w:rsid w:val="001F091B"/>
    <w:rsid w:val="001F55D1"/>
    <w:rsid w:val="0020002B"/>
    <w:rsid w:val="002227C3"/>
    <w:rsid w:val="00222FF2"/>
    <w:rsid w:val="002303A3"/>
    <w:rsid w:val="00242DFA"/>
    <w:rsid w:val="002562AC"/>
    <w:rsid w:val="002617FD"/>
    <w:rsid w:val="00272BE8"/>
    <w:rsid w:val="00275D5A"/>
    <w:rsid w:val="00275DBF"/>
    <w:rsid w:val="0027791B"/>
    <w:rsid w:val="002B4520"/>
    <w:rsid w:val="002B75AA"/>
    <w:rsid w:val="002C274F"/>
    <w:rsid w:val="00310EBC"/>
    <w:rsid w:val="00342340"/>
    <w:rsid w:val="003A245B"/>
    <w:rsid w:val="003A4B6A"/>
    <w:rsid w:val="003A7E93"/>
    <w:rsid w:val="003C5057"/>
    <w:rsid w:val="00403A66"/>
    <w:rsid w:val="00404D41"/>
    <w:rsid w:val="0045154D"/>
    <w:rsid w:val="00452174"/>
    <w:rsid w:val="00464E85"/>
    <w:rsid w:val="00467EDC"/>
    <w:rsid w:val="00494996"/>
    <w:rsid w:val="00505A37"/>
    <w:rsid w:val="00510172"/>
    <w:rsid w:val="00514CB7"/>
    <w:rsid w:val="005324E1"/>
    <w:rsid w:val="005355A5"/>
    <w:rsid w:val="00562CCF"/>
    <w:rsid w:val="005A6836"/>
    <w:rsid w:val="005C24B1"/>
    <w:rsid w:val="005D1BB7"/>
    <w:rsid w:val="005D6B90"/>
    <w:rsid w:val="005D7D19"/>
    <w:rsid w:val="006024A2"/>
    <w:rsid w:val="006807F2"/>
    <w:rsid w:val="006E0278"/>
    <w:rsid w:val="006E29CD"/>
    <w:rsid w:val="00726E36"/>
    <w:rsid w:val="0073057C"/>
    <w:rsid w:val="00743481"/>
    <w:rsid w:val="00775053"/>
    <w:rsid w:val="007B32AB"/>
    <w:rsid w:val="007C0A03"/>
    <w:rsid w:val="007C18FA"/>
    <w:rsid w:val="008348B4"/>
    <w:rsid w:val="00856439"/>
    <w:rsid w:val="00890951"/>
    <w:rsid w:val="008F3201"/>
    <w:rsid w:val="009053D9"/>
    <w:rsid w:val="0091053C"/>
    <w:rsid w:val="00932048"/>
    <w:rsid w:val="009726EA"/>
    <w:rsid w:val="009A571B"/>
    <w:rsid w:val="009C75A4"/>
    <w:rsid w:val="009D0B97"/>
    <w:rsid w:val="009F5990"/>
    <w:rsid w:val="00A012B3"/>
    <w:rsid w:val="00A10EC3"/>
    <w:rsid w:val="00A52CA5"/>
    <w:rsid w:val="00A57AE6"/>
    <w:rsid w:val="00A6553C"/>
    <w:rsid w:val="00A713E4"/>
    <w:rsid w:val="00A751AD"/>
    <w:rsid w:val="00A80835"/>
    <w:rsid w:val="00AA0BDF"/>
    <w:rsid w:val="00AC7237"/>
    <w:rsid w:val="00B10AF4"/>
    <w:rsid w:val="00B25C28"/>
    <w:rsid w:val="00B33170"/>
    <w:rsid w:val="00B50220"/>
    <w:rsid w:val="00B56883"/>
    <w:rsid w:val="00B77117"/>
    <w:rsid w:val="00BC12C8"/>
    <w:rsid w:val="00BE690E"/>
    <w:rsid w:val="00C00239"/>
    <w:rsid w:val="00C17BD1"/>
    <w:rsid w:val="00C20D11"/>
    <w:rsid w:val="00C67EFB"/>
    <w:rsid w:val="00C852F2"/>
    <w:rsid w:val="00CB0EE1"/>
    <w:rsid w:val="00CC2709"/>
    <w:rsid w:val="00CE3B6B"/>
    <w:rsid w:val="00CF0E5C"/>
    <w:rsid w:val="00D072E1"/>
    <w:rsid w:val="00D40797"/>
    <w:rsid w:val="00D50137"/>
    <w:rsid w:val="00D66829"/>
    <w:rsid w:val="00D75F9B"/>
    <w:rsid w:val="00D92D8E"/>
    <w:rsid w:val="00DC5F55"/>
    <w:rsid w:val="00DD58D9"/>
    <w:rsid w:val="00DF7B1B"/>
    <w:rsid w:val="00E06186"/>
    <w:rsid w:val="00E10B23"/>
    <w:rsid w:val="00E11E1F"/>
    <w:rsid w:val="00E308A3"/>
    <w:rsid w:val="00E30B17"/>
    <w:rsid w:val="00E75AD5"/>
    <w:rsid w:val="00E83D96"/>
    <w:rsid w:val="00EA1FE4"/>
    <w:rsid w:val="00EB51DB"/>
    <w:rsid w:val="00F04440"/>
    <w:rsid w:val="00F76203"/>
    <w:rsid w:val="00FE5442"/>
    <w:rsid w:val="05CB0D4F"/>
    <w:rsid w:val="172D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3330</Words>
  <Characters>3499</Characters>
  <Lines>26</Lines>
  <Paragraphs>7</Paragraphs>
  <TotalTime>3</TotalTime>
  <ScaleCrop>false</ScaleCrop>
  <LinksUpToDate>false</LinksUpToDate>
  <CharactersWithSpaces>3541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2016-11-10T06:46:00Z</dcterms:created>
  <dc:creator>lenovo</dc:creator>
  <cp:lastModifiedBy>Administrator</cp:lastModifiedBy>
  <dcterms:modified xsi:type="dcterms:W3CDTF">2023-04-13T07:34:33Z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82181DBD7C0C4F64B59F54C206DB8EBD</vt:lpwstr>
  </property>
</Properties>
</file>